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0E5E" w14:textId="096F9FAA" w:rsidR="00CF4E60" w:rsidRPr="00AD43A9" w:rsidRDefault="002604A7" w:rsidP="00AD43A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 xml:space="preserve">Eliminating </w:t>
      </w:r>
      <w:r w:rsid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>C</w:t>
      </w:r>
      <w:r w:rsidRP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>ompetition</w:t>
      </w:r>
      <w:r w:rsidR="00CF4E60" w:rsidRP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 xml:space="preserve"> in </w:t>
      </w:r>
      <w:r w:rsid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>F</w:t>
      </w:r>
      <w:r w:rsidR="00CF4E60" w:rsidRP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 xml:space="preserve">isheries </w:t>
      </w:r>
      <w:r w:rsid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>M</w:t>
      </w:r>
      <w:r w:rsidR="00CF4E60" w:rsidRP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>anagement</w:t>
      </w:r>
      <w:r w:rsid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>: T</w:t>
      </w:r>
      <w:r w:rsidR="00CF4E60" w:rsidRPr="00AD43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nb-NO"/>
        </w:rPr>
        <w:t>he Mediterranean case</w:t>
      </w:r>
    </w:p>
    <w:p w14:paraId="1A70C4DD" w14:textId="77777777" w:rsidR="009426D0" w:rsidRPr="00AD43A9" w:rsidRDefault="009426D0" w:rsidP="00AD43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6223FDE5" w14:textId="14067335" w:rsidR="00CF4E60" w:rsidRPr="0084307A" w:rsidRDefault="00CF4E60" w:rsidP="00AD43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</w:pPr>
      <w:r w:rsidRPr="0084307A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Helge Berglann, Trond Bjørndal</w:t>
      </w:r>
      <w:r w:rsidR="00AD43A9" w:rsidRPr="0084307A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and</w:t>
      </w:r>
      <w:r w:rsidRPr="0084307A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Francesc Maynou</w:t>
      </w:r>
    </w:p>
    <w:p w14:paraId="0A0119C3" w14:textId="0301ED3B" w:rsidR="009426D0" w:rsidRPr="0084307A" w:rsidRDefault="00F20A43" w:rsidP="00F20A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b-NO"/>
        </w:rPr>
        <w:t>November 15, 2021</w:t>
      </w:r>
    </w:p>
    <w:p w14:paraId="4C50A716" w14:textId="77777777" w:rsidR="00AD43A9" w:rsidRPr="0084307A" w:rsidRDefault="00AD43A9" w:rsidP="00AD43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b-NO"/>
        </w:rPr>
      </w:pPr>
    </w:p>
    <w:p w14:paraId="19D01A8D" w14:textId="567E74B8" w:rsidR="00CF4E60" w:rsidRPr="00AD43A9" w:rsidRDefault="00CF4E60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>Abstract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</w:p>
    <w:p w14:paraId="5F975D53" w14:textId="01484E1A" w:rsidR="00CF4E60" w:rsidRPr="00AD43A9" w:rsidRDefault="00351F2F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bookmarkStart w:id="0" w:name="_Hlk88115060"/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 this paper, w</w:t>
      </w:r>
      <w:r w:rsidR="00CF4E6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 introduce a simple regulation scheme that </w:t>
      </w:r>
      <w:r w:rsidR="00E52CC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might</w:t>
      </w:r>
      <w:r w:rsidR="00CF4E6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counteract the inefficiencies caused by competition between vessels in fisheries</w:t>
      </w:r>
      <w:r w:rsidR="00511C2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 Each fishing firm is induced to solve the same problem as a social planner.</w:t>
      </w:r>
      <w:r w:rsidR="00CF4E6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511C2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With</w:t>
      </w:r>
      <w:r w:rsidR="00600D8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out any regulation</w:t>
      </w:r>
      <w:r w:rsidR="00D4426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600D8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and </w:t>
      </w:r>
      <w:r w:rsidR="00D4426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 constant price for fish</w:t>
      </w:r>
      <w:r w:rsidR="00CE645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w:r w:rsidR="00511C2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</w:t>
      </w:r>
      <w:r w:rsidR="00CF4E6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monopoly firm </w:t>
      </w:r>
      <w:r w:rsidR="00CE645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having</w:t>
      </w:r>
      <w:r w:rsidR="00CF4E6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all fishing rights </w:t>
      </w:r>
      <w:r w:rsidR="00D4426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might</w:t>
      </w:r>
      <w:r w:rsidR="00CF4E6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select the Maximum Economic Yield (MEY)</w:t>
      </w:r>
      <w:r w:rsidR="00FA05B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outcome</w:t>
      </w:r>
      <w:r w:rsidR="00CF4E6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while competition between many vessels will create 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competitive </w:t>
      </w:r>
      <w:r w:rsidR="00CF4E6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game where the solution is a Nash equilibrium </w:t>
      </w:r>
      <w:r w:rsidR="009426D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comparable to the open access solution. With few vessels </w:t>
      </w:r>
      <w:r w:rsidR="00E52CC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outcome</w:t>
      </w:r>
      <w:r w:rsidR="00CF4E6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has similarities with the classic Cournot-Nash equilibrium of oligopolistic competition. </w:t>
      </w:r>
    </w:p>
    <w:bookmarkEnd w:id="0"/>
    <w:p w14:paraId="2DF1D51B" w14:textId="1A4D048B" w:rsidR="00CF4E60" w:rsidRDefault="00CF4E60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17B3FC6D" w14:textId="77777777" w:rsidR="00AD43A9" w:rsidRPr="00AD43A9" w:rsidRDefault="00AD43A9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4CDDC48A" w14:textId="289331EE" w:rsidR="00D72353" w:rsidRPr="00AD43A9" w:rsidRDefault="00D72353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>1 I</w:t>
      </w:r>
      <w:r w:rsidR="00D001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>NTRODUCTION</w:t>
      </w:r>
    </w:p>
    <w:p w14:paraId="6F691EF8" w14:textId="70620C45" w:rsidR="00E3310C" w:rsidRDefault="00E3310C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 recent decades, incentive adjusting approaches such as individual quotas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have become the preferred way of managing fisheries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rather than incentive block approaches, including effort controls. This is because such instruments may achieve outcomes that are socially efficient. A large number of fisheries are today managed by tradeable quotas (Bjørndal &amp; Munro, 2012). Nevertheless,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many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fisheries worldwide are still managed by input controls.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Instruments include control of the number of vessels, days per vessels, technical characteristics and more. 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There are several reasons for that. One </w:t>
      </w:r>
      <w:r w:rsidR="00BB070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is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because individual quotas may not function well in multispecies fisheries, e.g. in the tropics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where a very large number of species may harvested at the same time</w:t>
      </w:r>
      <w:r w:rsidR="0040567D">
        <w:rPr>
          <w:rStyle w:val="Fotnotereferanse"/>
          <w:rFonts w:ascii="Times New Roman" w:eastAsia="Times New Roman" w:hAnsi="Times New Roman" w:cs="Times New Roman"/>
          <w:sz w:val="24"/>
          <w:szCs w:val="24"/>
          <w:lang w:val="en-US" w:eastAsia="nb-NO"/>
        </w:rPr>
        <w:footnoteReference w:id="1"/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 Another reason may be the difficulty of monitoring harvests while one or more aspects of inputs may be controlled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much more easily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Examples include industrial fisheries such as those of the Falkland Islands but also many small scale fisheries. The case study we will consider in this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article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multi-species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demersal fisher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ies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 the Mediterranean,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are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 example of the latter.</w:t>
      </w:r>
    </w:p>
    <w:p w14:paraId="74DC3B4F" w14:textId="05DF3106" w:rsidR="00BE2303" w:rsidRDefault="00AD43A9" w:rsidP="00BE23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  <w:r w:rsidR="00BB44C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Assuming a fixed price a</w:t>
      </w:r>
      <w:r w:rsidR="00BB44C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monopoly firm with all fishing rights </w:t>
      </w:r>
      <w:r w:rsidR="0051721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would</w:t>
      </w:r>
      <w:r w:rsidR="0051721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BB44C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select the Maximum Economic Yield (MEY) outcome</w:t>
      </w:r>
      <w:r w:rsidR="00E121F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the solution which is preferred by the social </w:t>
      </w:r>
      <w:r w:rsidR="00E121F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lastRenderedPageBreak/>
        <w:t>planner.</w:t>
      </w:r>
      <w:r w:rsidR="0021747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26A6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</w:t>
      </w:r>
      <w:r w:rsidR="0021747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isher</w:t>
      </w:r>
      <w:r w:rsidR="003177F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ies </w:t>
      </w:r>
      <w:r w:rsidR="00126A6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with </w:t>
      </w:r>
      <w:r w:rsidR="00D41DF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full competition will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result in an </w:t>
      </w:r>
      <w:r w:rsidR="00D41DF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outcome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that </w:t>
      </w:r>
      <w:r w:rsidR="00D41DF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corresponds to open access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(Bjørndal &amp; Munro, 2012)</w:t>
      </w:r>
      <w:r w:rsidR="00D41DF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AE10D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E25F8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Between these extremes </w:t>
      </w:r>
      <w:r w:rsidR="00AC349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we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can</w:t>
      </w:r>
      <w:r w:rsidR="00AC349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find a</w:t>
      </w:r>
      <w:r w:rsidR="0023247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n</w:t>
      </w:r>
      <w:r w:rsidR="00D85E6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E52CC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outcome </w:t>
      </w:r>
      <w:r w:rsidR="004D25E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based on </w:t>
      </w:r>
      <w:r w:rsidR="0027062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 assumption </w:t>
      </w:r>
      <w:r w:rsidR="00AE2AB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akin to the one </w:t>
      </w:r>
      <w:r w:rsidR="0027062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used in traditional Cournot analysis (</w:t>
      </w:r>
      <w:r w:rsidR="002C6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e.g. </w:t>
      </w:r>
      <w:r w:rsidR="0027062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Tirole 1997)</w:t>
      </w:r>
      <w:r w:rsidR="002C6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AE2AB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2C6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Here</w:t>
      </w:r>
      <w:r w:rsidR="00AE2AB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in a</w:t>
      </w:r>
      <w:r w:rsidR="00D41DF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AE2AB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one-</w:t>
      </w:r>
      <w:r w:rsidR="00D41DF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product market</w:t>
      </w:r>
      <w:r w:rsidR="00E52CC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w:r w:rsidR="002C6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each oligopoly</w:t>
      </w:r>
      <w:r w:rsidR="00AE2AB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firm maximises its profit given that it knows the quantity produced by other firms. 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 this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situation</w:t>
      </w:r>
      <w:r w:rsidR="0023247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</w:t>
      </w:r>
      <w:r w:rsidR="00CC468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ore </w:t>
      </w:r>
      <w:r w:rsidR="00CC4686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firms</w:t>
      </w:r>
      <w:r w:rsidR="00232477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40567D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will </w:t>
      </w:r>
      <w:r w:rsidR="0081492D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increase </w:t>
      </w:r>
      <w:r w:rsid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social</w:t>
      </w:r>
      <w:r w:rsidR="00CC4686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welfare. </w:t>
      </w:r>
      <w:r w:rsidR="00EB5DC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</w:t>
      </w:r>
      <w:r w:rsidR="00AE2AB9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n the open fishery case with few vessels</w:t>
      </w:r>
      <w:r w:rsidR="00EB5DC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AE2AB9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</w:t>
      </w:r>
      <w:r w:rsidR="00D41DF2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E52CCA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similar </w:t>
      </w:r>
      <w:r w:rsidR="00AE2AB9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assumption is that each vessel </w:t>
      </w:r>
      <w:r w:rsidR="00EB5DC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maximise</w:t>
      </w:r>
      <w:r w:rsidR="00351F2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EB5DC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profit</w:t>
      </w:r>
      <w:r w:rsidR="00351F2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EB5DC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by </w:t>
      </w:r>
      <w:r w:rsidR="00AE2AB9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select</w:t>
      </w:r>
      <w:r w:rsidR="00EB5DC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ing</w:t>
      </w:r>
      <w:r w:rsidR="00E25F84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EB5DC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its </w:t>
      </w:r>
      <w:r w:rsidR="00AE10D1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effort</w:t>
      </w:r>
      <w:r w:rsidR="00E25F84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EB5DCF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given that it knows the effort undertaken by all other vessels in the fishery</w:t>
      </w:r>
      <w:r w:rsidR="00AE10D1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CC4686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 this case</w:t>
      </w:r>
      <w:r w:rsidR="0081492D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CC4686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more vessels</w:t>
      </w:r>
      <w:r w:rsidR="0081492D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make competition greater which </w:t>
      </w:r>
      <w:r w:rsidR="00232477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might </w:t>
      </w:r>
      <w:r w:rsidR="0081492D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significantly</w:t>
      </w:r>
      <w:r w:rsidR="00CC4686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1492D" w:rsidRPr="004056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decrease </w:t>
      </w:r>
      <w:r w:rsidR="00BE2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social</w:t>
      </w:r>
      <w:r w:rsidR="0081492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welfare.</w:t>
      </w:r>
      <w:r w:rsidR="0023247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reason, of course, is that the competition implies higher </w:t>
      </w:r>
      <w:r w:rsidR="00A36D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total fishing </w:t>
      </w:r>
      <w:r w:rsidR="0023247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and therefore the fish stock </w:t>
      </w:r>
      <w:r w:rsidR="00232477" w:rsidRPr="00CA0D2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diminishes</w:t>
      </w:r>
      <w:r w:rsidR="00DA37A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because of overfishing.</w:t>
      </w:r>
      <w:r w:rsidR="00BE2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Whether this happens depends on the ability of the fisheries manager </w:t>
      </w:r>
      <w:r w:rsidR="00277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to </w:t>
      </w:r>
      <w:r w:rsidR="001C2B8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eliminate</w:t>
      </w:r>
      <w:r w:rsidR="00277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competition element</w:t>
      </w:r>
      <w:r w:rsidR="001C2B8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277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</w:p>
    <w:p w14:paraId="17D97A8E" w14:textId="70C83250" w:rsidR="00CF1D4C" w:rsidRDefault="00BE2303" w:rsidP="00BE23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  <w:r w:rsidR="00351F2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 this paper, w</w:t>
      </w:r>
      <w:r w:rsidR="001C2B8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 fill a gap in the theory of fishery regulation </w:t>
      </w:r>
      <w:r w:rsidR="000C475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by </w:t>
      </w:r>
      <w:r w:rsidR="001C2B8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assuming </w:t>
      </w:r>
      <w:r w:rsidR="005C7F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 payment function where fishers</w:t>
      </w:r>
      <w:r w:rsid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’</w:t>
      </w:r>
      <w:r w:rsidR="005C7F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profit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277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3177F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are</w:t>
      </w:r>
      <w:r w:rsidR="005C7F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independent of </w:t>
      </w:r>
      <w:r w:rsidR="001637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other </w:t>
      </w:r>
      <w:r w:rsidR="00351F2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parti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</w:t>
      </w:r>
      <w:r w:rsidR="00351F2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ipants</w:t>
      </w:r>
      <w:r w:rsidR="005C7F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 the fishery.</w:t>
      </w:r>
      <w:r w:rsidR="00277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F163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 </w:t>
      </w:r>
      <w:r w:rsidR="000C475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that</w:t>
      </w:r>
      <w:r w:rsidR="00F163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case</w:t>
      </w:r>
      <w:r w:rsidR="000C475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F163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when we use</w:t>
      </w:r>
      <w:r w:rsidR="00F1630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 simple static Gordon-Shaefer model as an example, </w:t>
      </w:r>
      <w:r w:rsidR="00F163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</w:t>
      </w:r>
      <w:r w:rsidR="001C2B8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very v</w:t>
      </w:r>
      <w:r w:rsidR="00277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essel</w:t>
      </w:r>
      <w:r w:rsidR="001C2B8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277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will choose </w:t>
      </w:r>
      <w:r w:rsidR="001C2B8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an</w:t>
      </w:r>
      <w:r w:rsidR="00277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efficient effort level.</w:t>
      </w:r>
      <w:r w:rsidR="00EB5DC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This payment function</w:t>
      </w:r>
      <w:r w:rsidR="00FA259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depends on an effort share parameter assigned to vessel </w:t>
      </w:r>
      <w:r w:rsidR="00FA25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 xml:space="preserve">i </w:t>
      </w:r>
      <w:r w:rsidR="00FA259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and the effort </w:t>
      </w:r>
      <w:r w:rsidR="00D510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it chooses.</w:t>
      </w:r>
      <w:r w:rsidR="007E47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mechanism might be interpreted as an individual tax being levied on each vessel that only depend</w:t>
      </w:r>
      <w:r w:rsidR="00351F2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7E47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on an individual </w:t>
      </w:r>
      <w:r w:rsidR="00A1582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</w:t>
      </w:r>
      <w:r w:rsidR="007E47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share parameter </w:t>
      </w:r>
      <w:r w:rsidR="0012432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and </w:t>
      </w:r>
      <w:r w:rsidR="007E47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of its own aggregated effort during the regulation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period.</w:t>
      </w:r>
    </w:p>
    <w:p w14:paraId="1BA7408F" w14:textId="77777777" w:rsidR="00386BE2" w:rsidRPr="00AD43A9" w:rsidRDefault="00386BE2" w:rsidP="00FA7A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69F3C7B8" w14:textId="2E608CBE" w:rsidR="00AE10D1" w:rsidRPr="00E3310C" w:rsidRDefault="00AE10D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 xml:space="preserve">2 </w:t>
      </w:r>
      <w:r w:rsidR="00D001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>THE BIOECONOMICS MODEL</w:t>
      </w:r>
    </w:p>
    <w:p w14:paraId="1EB74926" w14:textId="490425DF" w:rsidR="00AE10D1" w:rsidRPr="009B4E34" w:rsidRDefault="00AE10D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b-NO"/>
        </w:rPr>
      </w:pPr>
      <w:r w:rsidRPr="009B4E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b-NO"/>
        </w:rPr>
        <w:t>Unregulated competition in the fisheries</w:t>
      </w:r>
    </w:p>
    <w:p w14:paraId="3DB800B9" w14:textId="68B56F82" w:rsidR="00431FBB" w:rsidRDefault="00810928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We base the analysis on the static Gordon-Schaefer bioeconomic model (Bjørndal &amp; Munro, 2012). Moreover, we assume steady state so that there is no change in stock size x, i.e.,</w:t>
      </w:r>
    </w:p>
    <w:p w14:paraId="63738D67" w14:textId="6F53461B" w:rsidR="00431FBB" w:rsidRPr="00AD43A9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∂x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∂t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-h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=0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</m:t>
                  </m:r>
                </m:e>
              </m:d>
            </m:e>
          </m:eqArr>
        </m:oMath>
      </m:oMathPara>
    </w:p>
    <w:p w14:paraId="01111915" w14:textId="5797DE83" w:rsidR="00431FBB" w:rsidRDefault="008C1F1D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where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x</m:t>
            </m:r>
          </m:e>
        </m:d>
      </m:oMath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 the </w:t>
      </w:r>
      <w:r w:rsidR="003667F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growth function</w:t>
      </w:r>
      <w:r w:rsidR="00B972DF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3667F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BD6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e,x</m:t>
            </m:r>
          </m:e>
        </m:d>
      </m:oMath>
      <w:r w:rsidR="00BD6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3667F2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is </w:t>
      </w:r>
      <w:r w:rsidR="00BD6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catch</w:t>
      </w:r>
      <w:r w:rsidR="00B972DF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es</w:t>
      </w:r>
      <w:r w:rsidR="00BD6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given</w:t>
      </w:r>
      <w:r w:rsidR="00B972DF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as a function of</w:t>
      </w:r>
      <w:r w:rsidR="00BD6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stock </w:t>
      </w:r>
      <w:r w:rsid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size </w:t>
      </w:r>
      <w:r w:rsidR="00BD671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and of total effort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(e)</w:t>
      </w:r>
      <w:r w:rsidR="00AE10D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87533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Solving this equation with regard to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x</m:t>
        </m:r>
      </m:oMath>
      <w:r w:rsidR="00172CC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w:r w:rsidR="00FF75F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and </w:t>
      </w:r>
      <w:r w:rsidR="00E52CC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eliminating</w:t>
      </w:r>
      <w:r w:rsidR="00172CC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x=0</m:t>
        </m:r>
      </m:oMath>
      <w:r w:rsidR="00FF75F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72CC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solution, </w:t>
      </w:r>
      <w:r w:rsidR="0087533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gives the stock function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 x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</m:d>
      </m:oMath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AF2C4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where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x'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&lt;0 </m:t>
        </m:r>
      </m:oMath>
      <w:r w:rsidR="00AF2C4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as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AF2C4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stock declin</w:t>
      </w:r>
      <w:r w:rsidR="00FF75F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es</w:t>
      </w:r>
      <w:r w:rsidR="00AF2C4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</w:t>
      </w:r>
      <w:r w:rsidR="00AF2C4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effort. 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With the 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Schaefer harvest function (Schaefer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1957)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we have</w:t>
      </w:r>
    </w:p>
    <w:p w14:paraId="3FB99504" w14:textId="0D221383" w:rsidR="00431FBB" w:rsidRPr="00431FBB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x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=h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q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e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2</m:t>
                  </m:r>
                </m:e>
              </m:d>
            </m:e>
          </m:eqArr>
        </m:oMath>
      </m:oMathPara>
    </w:p>
    <w:p w14:paraId="4383559F" w14:textId="6BA1F09D" w:rsidR="00431FBB" w:rsidRDefault="002A2185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where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q</m:t>
        </m:r>
      </m:oMath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 a constant</w:t>
      </w:r>
      <w:r w:rsidR="00172CC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known as 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</w:t>
      </w:r>
      <w:r w:rsid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catchability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parameter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 F</w:t>
      </w:r>
      <w:r w:rsid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urther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905F2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assum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ing</w:t>
      </w:r>
      <w:r w:rsidR="00905F2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constant price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p</m:t>
        </m:r>
      </m:oMath>
      <w:r w:rsidR="00905F2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and</w:t>
      </w:r>
      <w:r w:rsidR="00905F2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variable costs</w:t>
      </w:r>
      <w:r w:rsidR="00AE1EDF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c</m:t>
        </m:r>
      </m:oMath>
      <w:r w:rsidR="00474E8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FF75F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for </w:t>
      </w:r>
      <w:r w:rsidR="00AF2C4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each unit </w:t>
      </w:r>
      <w:r w:rsidR="00474E8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of effort</w:t>
      </w:r>
      <w:r w:rsidR="00905F2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we have</w:t>
      </w:r>
      <w:r w:rsidR="00905F2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p</w:t>
      </w:r>
      <w:r w:rsidR="00A0573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rofits</w:t>
      </w:r>
      <w:r w:rsidR="00474E8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π</m:t>
        </m:r>
      </m:oMath>
      <w:r w:rsidR="00A0573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474E8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as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:</w:t>
      </w:r>
    </w:p>
    <w:p w14:paraId="4C7FE596" w14:textId="5B9EEA53" w:rsidR="00245C95" w:rsidRPr="00AD43A9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π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p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e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c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</m:e>
          </m:eqAr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3</m:t>
              </m:r>
            </m:e>
          </m:d>
        </m:oMath>
      </m:oMathPara>
    </w:p>
    <w:p w14:paraId="72C3E6DC" w14:textId="66D74CC6" w:rsidR="009135A7" w:rsidRPr="00AD43A9" w:rsidRDefault="00AE1EDF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lastRenderedPageBreak/>
        <w:t>This formulation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also describes the profit of a 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sole owner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fishery where all fishing rights are </w:t>
      </w:r>
      <w:r w:rsidR="00AF2C4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held by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one firm. The </w:t>
      </w:r>
      <w:r w:rsidR="00E52CC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concavity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C765C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ensures a</w:t>
      </w:r>
      <w:r w:rsidR="00906C65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n</w:t>
      </w:r>
      <w:r w:rsidR="00C765C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72CC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inner solution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to</w:t>
      </w:r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72CC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(3)</w:t>
      </w:r>
      <w:r w:rsidR="00FF75F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</w:t>
      </w:r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he optimal </w:t>
      </w:r>
      <w:r w:rsidR="00172CC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solution </w:t>
      </w:r>
      <w:r w:rsidR="00FF75F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is </w:t>
      </w:r>
      <w:r w:rsidR="00C765C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called the maximum economic yield (MEY)</w:t>
      </w:r>
      <w:r w:rsidR="00FF75F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level. 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As</w:t>
      </w:r>
      <w:r w:rsidR="00915A4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social planner optimise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915A4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same objective function</w:t>
      </w:r>
      <w:r w:rsidR="009135A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915A4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outcome </w:t>
      </w:r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of (3) </w:t>
      </w:r>
      <w:r w:rsidR="00915A4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is efficient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</w:p>
    <w:p w14:paraId="155285A7" w14:textId="05FD87AC" w:rsidR="0076587D" w:rsidRDefault="00AD43A9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To find an analytical expression, w</w:t>
      </w:r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 use t</w:t>
      </w:r>
      <w:r w:rsidR="0076587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he logistic natural growth equation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</w:p>
    <w:p w14:paraId="2BDE6863" w14:textId="27D32E3F" w:rsidR="00431FBB" w:rsidRPr="00AD43A9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r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4</m:t>
                  </m:r>
                </m:e>
              </m:d>
            </m:e>
          </m:eqArr>
        </m:oMath>
      </m:oMathPara>
    </w:p>
    <w:p w14:paraId="4A98916B" w14:textId="76F7B03F" w:rsidR="0076587D" w:rsidRDefault="0076587D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where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r</m:t>
        </m:r>
      </m:oMath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 the </w:t>
      </w:r>
      <w:r w:rsid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intrinsic 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growth rate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K</m:t>
        </m:r>
      </m:oMath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carrying capacity</w:t>
      </w:r>
      <w:r w:rsid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of the environment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Assuming steady state (eq. 1)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for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x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&gt;0</m:t>
        </m:r>
      </m:oMath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the stock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-effort relationship becomes</w:t>
      </w:r>
    </w:p>
    <w:p w14:paraId="17314D29" w14:textId="74DA9F6F" w:rsidR="00431FBB" w:rsidRPr="00431FBB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K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q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r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e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5</m:t>
                  </m:r>
                </m:e>
              </m:d>
            </m:e>
          </m:eqArr>
        </m:oMath>
      </m:oMathPara>
    </w:p>
    <w:p w14:paraId="2277DA92" w14:textId="5517161E" w:rsidR="0076587D" w:rsidRDefault="00E52CCA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When </w:t>
      </w:r>
      <w:r w:rsidR="000B6B4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(5) </w:t>
      </w:r>
      <w:r w:rsidR="00DE48B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is inserted in</w:t>
      </w:r>
      <w:r w:rsidR="000B6B4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(3)</w:t>
      </w:r>
      <w:r w:rsidR="00DE48B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0B6B4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we find </w:t>
      </w:r>
      <w:r w:rsidR="0076587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</w:t>
      </w:r>
      <w:r w:rsidR="008109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sole owner</w:t>
      </w:r>
      <w:r w:rsidR="0076587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9D53A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problem</w:t>
      </w:r>
      <w:r w:rsidR="0076587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0B6B4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as</w:t>
      </w:r>
    </w:p>
    <w:p w14:paraId="71B86738" w14:textId="4792435A" w:rsidR="00431FBB" w:rsidRPr="00431FBB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π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max</m:t>
                          </m:r>
                        </m:e>
                        <m:li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e</m:t>
                          </m:r>
                        </m:lim>
                      </m:limLow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p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q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e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 w:eastAsia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 w:eastAsia="nb-NO"/>
                                </w:rPr>
                                <m:t>e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c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e</m:t>
                          </m:r>
                        </m:e>
                      </m:d>
                    </m:e>
                  </m:func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=</m:t>
                  </m:r>
                </m:fName>
                <m: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lim>
                  </m:limLow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p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p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 w:eastAsia="nb-NO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 w:eastAsia="nb-NO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 w:eastAsia="nb-NO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r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c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6</m:t>
                  </m:r>
                </m:e>
              </m:d>
            </m:e>
          </m:eqArr>
        </m:oMath>
      </m:oMathPara>
    </w:p>
    <w:p w14:paraId="3D3D4C66" w14:textId="0D7E8A94" w:rsidR="00810928" w:rsidRDefault="008862EB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</w:t>
      </w:r>
      <w:r w:rsidR="0076587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he first order condition becomes </w:t>
      </w:r>
    </w:p>
    <w:p w14:paraId="1FF948F5" w14:textId="71FAFA8B" w:rsidR="00431FBB" w:rsidRPr="00431FBB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p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q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+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p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q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'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e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c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p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q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K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2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r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e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c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=0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7</m:t>
                  </m:r>
                </m:e>
              </m:d>
            </m:e>
          </m:eqArr>
        </m:oMath>
      </m:oMathPara>
    </w:p>
    <w:p w14:paraId="56FED515" w14:textId="7B42B7A7" w:rsidR="004E6237" w:rsidRPr="00AD43A9" w:rsidRDefault="00E34712" w:rsidP="00FA7A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</w:t>
      </w:r>
      <w:r w:rsidR="0076587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hich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76587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gives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w:br/>
        </m:r>
      </m:oMath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so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p K q-c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2 p K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8</m:t>
                  </m:r>
                </m:e>
              </m:d>
            </m:e>
          </m:eqArr>
        </m:oMath>
      </m:oMathPara>
    </w:p>
    <w:p w14:paraId="0EBEC9DF" w14:textId="1FB4848E" w:rsidR="009D53A7" w:rsidRPr="00AD43A9" w:rsidRDefault="00DE48B8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</w:t>
      </w:r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here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so</m:t>
            </m:r>
          </m:sub>
        </m:sSub>
      </m:oMath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denotes the effort of </w:t>
      </w:r>
      <w:r w:rsidR="008D6CE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sole owner.</w:t>
      </w:r>
    </w:p>
    <w:p w14:paraId="5B64893A" w14:textId="3C10FCF8" w:rsidR="0047099C" w:rsidRDefault="00DE48B8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  <w:r w:rsidR="008D6CE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Next, consider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case with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n≥2</m:t>
        </m:r>
      </m:oMath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9D53A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independent and </w:t>
      </w:r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equal 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vessels in the fishing industry. Each vessel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i</m:t>
        </m:r>
      </m:oMath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simultaneously and independently chooses effort in the one-stage game by maximi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ing its profit given </w:t>
      </w:r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that </w:t>
      </w:r>
      <w:r w:rsidR="00AD44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vessel</w:t>
      </w:r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ha</w:t>
      </w:r>
      <w:r w:rsidR="008D6CE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A552F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knowledge </w:t>
      </w:r>
      <w:r w:rsidR="00AD44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about</w:t>
      </w:r>
      <w:r w:rsidR="009C559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sum of effort chosen by other firms.</w:t>
      </w:r>
      <w:r w:rsidR="002511F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Vessel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 i</m:t>
        </m:r>
      </m:oMath>
      <w:r w:rsidR="002511FA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’s profit becomes</w:t>
      </w:r>
    </w:p>
    <w:p w14:paraId="72C58777" w14:textId="32578F87" w:rsidR="00E34712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π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 w:eastAsia="nb-NO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q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x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n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-1</m:t>
                          </m:r>
                        </m:e>
                      </m:d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c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e>
              </m:d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  <w:lang w:val="en-US" w:eastAsia="nb-NO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q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p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r</m:t>
                      </m:r>
                    </m:den>
                  </m:f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n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-1</m:t>
                          </m:r>
                        </m:e>
                      </m:d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c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                             (9)</m:t>
              </m:r>
            </m:e>
          </m:func>
        </m:oMath>
      </m:oMathPara>
    </w:p>
    <w:p w14:paraId="40F04298" w14:textId="75B0E24A" w:rsidR="00906C65" w:rsidRDefault="00D00384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where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j</m:t>
            </m:r>
          </m:sub>
        </m:sSub>
      </m:oMath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 </w:t>
      </w:r>
      <w:r w:rsidR="004D739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one of the other equal vessel</w:t>
      </w:r>
      <w:r w:rsidR="001C4E4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’</w:t>
      </w:r>
      <w:r w:rsidR="004D739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 effort multiplied with the number of other firms</w:t>
      </w:r>
      <w:r w:rsidR="00906C65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n-1</m:t>
            </m:r>
          </m:e>
        </m:d>
      </m:oMath>
      <w:r w:rsidR="004D739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906C65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first order condition is </w:t>
      </w:r>
    </w:p>
    <w:p w14:paraId="3CF4F779" w14:textId="77777777" w:rsidR="00E34712" w:rsidRPr="00E34712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∂π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q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-1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q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-1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c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=0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10</m:t>
                  </m:r>
                </m:e>
              </m:d>
            </m:e>
          </m:eqArr>
        </m:oMath>
      </m:oMathPara>
    </w:p>
    <w:p w14:paraId="5F666FC4" w14:textId="6878AFDF" w:rsidR="004D739B" w:rsidRDefault="004E0FF0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Using (5)</w:t>
      </w:r>
      <w:r w:rsidR="00DE48B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</w:t>
      </w:r>
      <w:r w:rsidR="004D739B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he solution is</w:t>
      </w:r>
      <w:r w:rsidR="0065450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reaction function</w:t>
      </w:r>
    </w:p>
    <w:p w14:paraId="319D21FF" w14:textId="2E5EFBD1" w:rsidR="004D739B" w:rsidRPr="00AD43A9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1-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n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r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pK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11</m:t>
                  </m:r>
                </m:e>
              </m:d>
            </m:e>
          </m:eqArr>
        </m:oMath>
      </m:oMathPara>
    </w:p>
    <w:p w14:paraId="1800CCA4" w14:textId="7490416D" w:rsidR="004D739B" w:rsidRDefault="008D6CE2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lastRenderedPageBreak/>
        <w:t>As</w:t>
      </w:r>
      <w:r w:rsidR="004E08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firms are equal, we can replace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j</m:t>
            </m:r>
          </m:sub>
        </m:sSub>
      </m:oMath>
      <w:r w:rsidR="004E08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 (1</w:t>
      </w:r>
      <w:r w:rsidR="004E0FF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1</w:t>
      </w:r>
      <w:r w:rsidR="004E08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) with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  <w:r w:rsidR="004E08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solve the resulting equation with respect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  <w:r w:rsidR="004E08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i.e.</w:t>
      </w:r>
      <w:r w:rsidR="00DE48B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4E086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</w:p>
    <w:p w14:paraId="5D2AE96F" w14:textId="71B83467" w:rsidR="00A91D43" w:rsidRPr="00AD43A9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p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c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r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12</m:t>
                  </m:r>
                </m:e>
              </m:d>
            </m:e>
          </m:eqArr>
        </m:oMath>
      </m:oMathPara>
    </w:p>
    <w:p w14:paraId="34DAB6DA" w14:textId="43C206A1" w:rsidR="004B060F" w:rsidRDefault="0002611A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If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n→∞</m:t>
        </m:r>
      </m:oMath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total effort</w:t>
      </w:r>
      <w:r w:rsidR="004B060F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</w:t>
      </w:r>
    </w:p>
    <w:p w14:paraId="7BD5AAC1" w14:textId="423B00B7" w:rsidR="00A91D43" w:rsidRPr="00A91D43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e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i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=</m:t>
                  </m:r>
                </m:e>
              </m:nary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n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p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q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c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r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n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p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p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c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13</m:t>
                  </m:r>
                </m:e>
              </m:d>
            </m:e>
          </m:eqArr>
        </m:oMath>
      </m:oMathPara>
    </w:p>
    <w:p w14:paraId="58A8416A" w14:textId="77777777" w:rsidR="00DE48B8" w:rsidRDefault="004B060F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which corresponds to the open access solution.</w:t>
      </w:r>
      <w:r w:rsidR="00164CD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</w:p>
    <w:p w14:paraId="34EBE3C2" w14:textId="45C00FE3" w:rsidR="00164CD8" w:rsidRPr="00AD43A9" w:rsidRDefault="00DE48B8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</w:p>
    <w:p w14:paraId="6BC0B338" w14:textId="47B8F8F5" w:rsidR="008251BF" w:rsidRPr="00F80FE3" w:rsidRDefault="00FE62E3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b-NO"/>
        </w:rPr>
      </w:pPr>
      <w:r w:rsidRPr="00F80F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b-NO"/>
        </w:rPr>
        <w:t>Eliminating</w:t>
      </w:r>
      <w:r w:rsidR="008251BF" w:rsidRPr="00F80F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b-NO"/>
        </w:rPr>
        <w:t xml:space="preserve"> competition in fisheries</w:t>
      </w:r>
    </w:p>
    <w:p w14:paraId="06C6F30E" w14:textId="15E157ED" w:rsidR="007F7658" w:rsidRDefault="008251BF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</w:t>
      </w:r>
      <w:r w:rsidR="0018035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</w:t>
      </w:r>
      <w:r w:rsidR="006124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re are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n</m:t>
        </m:r>
      </m:oMath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23596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fisher</w:t>
      </w:r>
      <w:r w:rsidR="0023596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y firms, each </w:t>
      </w:r>
      <w:r w:rsidR="00B303B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assumed to </w:t>
      </w:r>
      <w:r w:rsidR="0023596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control one vessel, </w:t>
      </w:r>
      <w:r w:rsidR="006124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which </w:t>
      </w:r>
      <w:r w:rsidR="00B6775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can be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regulated via a mechanism </w:t>
      </w:r>
      <w:r w:rsidR="00903C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suggested by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Berglann (2012)</w:t>
      </w:r>
      <w:r w:rsidR="008208A7">
        <w:rPr>
          <w:rStyle w:val="Fotnotereferanse"/>
          <w:rFonts w:ascii="Times New Roman" w:eastAsia="Times New Roman" w:hAnsi="Times New Roman" w:cs="Times New Roman"/>
          <w:sz w:val="24"/>
          <w:szCs w:val="24"/>
          <w:lang w:val="en-US" w:eastAsia="nb-NO"/>
        </w:rPr>
        <w:footnoteReference w:id="2"/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315CB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erglann (2012)</w:t>
      </w:r>
      <w:r w:rsidR="00903C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considers regulation in </w:t>
      </w:r>
      <w:r w:rsidR="003571E5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 static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C435F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model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C4E4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with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negative externalities caused by pollution</w:t>
      </w:r>
      <w:r w:rsidR="008C435F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 W</w:t>
      </w:r>
      <w:r w:rsidR="00315CB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 </w:t>
      </w:r>
      <w:r w:rsidR="00577BD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do the same by </w:t>
      </w:r>
      <w:r w:rsidR="00315CB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treat</w:t>
      </w:r>
      <w:r w:rsidR="008C435F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ing</w:t>
      </w:r>
      <w:r w:rsidR="00315CB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C435F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</w:t>
      </w:r>
      <w:r w:rsidR="00315CB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dynamic fishery model in a static context.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7F765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outcome is a mechanism where </w:t>
      </w:r>
      <w:r w:rsidR="00C7003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revenues become</w:t>
      </w:r>
      <w:r w:rsidR="007F765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regulated on an individual basis</w:t>
      </w:r>
      <w:r w:rsidR="00F80FE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18035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revenue</w:t>
      </w:r>
      <w:r w:rsidR="00F80FE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increases until effort is over a certain point (the maximum economic yield, MEY), thereafter it</w:t>
      </w:r>
      <w:r w:rsidR="007F765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decreases as </w:t>
      </w:r>
      <w:r w:rsidR="0091763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individual </w:t>
      </w:r>
      <w:r w:rsidR="007F765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increases through the regulation period. </w:t>
      </w:r>
    </w:p>
    <w:p w14:paraId="13B4C7A1" w14:textId="5D4B9C12" w:rsidR="00903CB3" w:rsidRDefault="0091763B" w:rsidP="00FA7A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following</w:t>
      </w:r>
      <w:r w:rsidR="00E827B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equation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0F1AE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differs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355AB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slightly </w:t>
      </w:r>
      <w:r w:rsidR="000F1AE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from</w:t>
      </w:r>
      <w:r w:rsidR="00355AB9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(9),</w:t>
      </w:r>
      <w:r w:rsidR="0055664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0F1AE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because</w:t>
      </w:r>
      <w:r w:rsidR="0055664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0F1AE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we want to indicate that information might be asymmetrically distributed. We</w:t>
      </w:r>
      <w:r w:rsidR="009A14A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re</w:t>
      </w:r>
      <w:r w:rsidR="00903C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state</w:t>
      </w:r>
      <w:r w:rsidR="000F1AE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(9) as</w:t>
      </w:r>
    </w:p>
    <w:p w14:paraId="149C2C0F" w14:textId="6C960784" w:rsidR="00FF01CD" w:rsidRDefault="00365091" w:rsidP="004544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>
        <m:eqArr>
          <m:eqArrPr>
            <m:maxDist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eqArr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i</m:t>
                    </m:r>
                  </m:sub>
                </m:sSub>
              </m:e>
            </m:acc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=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p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q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-1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#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14</m:t>
                </m:r>
              </m:e>
            </m:d>
          </m:e>
        </m:eqArr>
      </m:oMath>
      <w:bookmarkStart w:id="1" w:name="_Hlk77148164"/>
      <w:r w:rsidR="00434F83">
        <w:rPr>
          <w:rFonts w:ascii="Times New Roman" w:eastAsia="Times New Roman" w:hAnsi="Times New Roman" w:cs="Times New Roman"/>
          <w:iCs/>
          <w:sz w:val="24"/>
          <w:szCs w:val="24"/>
          <w:lang w:val="en-US" w:eastAsia="nb-NO"/>
        </w:rPr>
        <w:t xml:space="preserve">where </w:t>
      </w:r>
      <w:r w:rsidR="00434F83" w:rsidRPr="00434F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 xml:space="preserve">n, </w:t>
      </w:r>
      <w:r w:rsidR="00E827B4" w:rsidRPr="00434F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>p</w:t>
      </w:r>
      <w:r w:rsidR="00A1282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 xml:space="preserve"> </w:t>
      </w:r>
      <w:r w:rsidR="00A1282E" w:rsidRPr="00A1282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and</w:t>
      </w:r>
      <w:r w:rsidR="00434F83" w:rsidRPr="00434F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 xml:space="preserve"> </w:t>
      </w:r>
      <w:r w:rsidR="00E827B4" w:rsidRPr="00434F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>q</w:t>
      </w:r>
      <w:r w:rsidR="00A1282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 xml:space="preserve"> </w:t>
      </w:r>
      <w:r w:rsidR="00434F8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are commonly known</w:t>
      </w:r>
      <w:r w:rsidR="00A1282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  <w:r w:rsidR="00A1282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j</m:t>
            </m:r>
          </m:sub>
        </m:sSub>
      </m:oMath>
      <w:r w:rsidR="00A1282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are choice variables.</w:t>
      </w:r>
      <w:r w:rsidR="00236E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</w:t>
      </w:r>
      <w:r w:rsidR="00E827B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he </w:t>
      </w:r>
      <w:r w:rsidR="00434F8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</w:t>
      </w:r>
      <w:r w:rsidR="008208A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dash</w:t>
      </w:r>
      <w:r w:rsidR="00434F8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above) </w:t>
      </w:r>
      <w:r w:rsidR="00E827B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marking indicates, a</w:t>
      </w:r>
      <w:r w:rsidR="006826B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 assumed in Berglann (2021), </w:t>
      </w:r>
      <w:r w:rsidR="00E827B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that </w:t>
      </w:r>
      <w:r w:rsidR="006826B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information about the stock size</w:t>
      </w:r>
      <w:r w:rsidR="0091763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function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x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∙</m:t>
            </m:r>
          </m:e>
        </m:d>
      </m:oMath>
      <w:r w:rsidR="00DC610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and hence also the revenue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</m:e>
        </m:acc>
      </m:oMath>
      <w:r w:rsidR="00DC610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w:r w:rsidR="006826B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is </w:t>
      </w:r>
      <w:r w:rsidR="00434F8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not known by the planner but only </w:t>
      </w:r>
      <w:r w:rsid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known or </w:t>
      </w:r>
      <w:r w:rsidR="006826B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experienced</w:t>
      </w:r>
      <w:r w:rsid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by the vessels</w:t>
      </w:r>
      <w:r w:rsidR="00434F8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450C4D" w:rsidRP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latter</w:t>
      </w:r>
      <w:r w:rsid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450C4D" w:rsidRP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because </w:t>
      </w:r>
      <w:r w:rsidR="00410C6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vessels</w:t>
      </w:r>
      <w:r w:rsidR="00450C4D" w:rsidRP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see the relationship between e</w:t>
      </w:r>
      <w:r w:rsid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ff</w:t>
      </w:r>
      <w:r w:rsidR="00450C4D" w:rsidRP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ort and harvest as they </w:t>
      </w:r>
      <w:r w:rsid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fi</w:t>
      </w:r>
      <w:r w:rsidR="00450C4D" w:rsidRP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</w:t>
      </w:r>
      <w:r w:rsidR="0091763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they observe the sum of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</w:t>
      </w:r>
      <w:r w:rsidR="002A18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of opponents</w:t>
      </w:r>
      <w:r w:rsidR="00450C4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DC17F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</w:p>
    <w:p w14:paraId="3CB01164" w14:textId="474CE2A7" w:rsidR="002A2185" w:rsidRDefault="001B4FCD" w:rsidP="00FF01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Now,</w:t>
      </w:r>
      <w:r w:rsidR="00F826C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let us assume that the planner applies available historical data</w:t>
      </w:r>
      <w:r w:rsidR="003336D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F826C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to estimate 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model </w:t>
      </w:r>
      <w:r w:rsidR="003336D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parameters</w:t>
      </w:r>
      <w:r w:rsidR="003B31C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including the</w:t>
      </w:r>
      <w:r w:rsidR="003336D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DA0CC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stock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-effort relationship</w:t>
      </w:r>
      <w:r w:rsidR="00F826C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x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</m:d>
      </m:oMath>
      <w:r w:rsidR="001607E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</w:t>
      </w:r>
      <w:r w:rsidR="0084474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3B31C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equation </w:t>
      </w:r>
      <w:r w:rsidR="0084474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(5)</w:t>
      </w:r>
      <w:r w:rsidR="003B31C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4544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3336D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Regulation then take place as follows: </w:t>
      </w:r>
      <w:r w:rsidR="00DA0CC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Before fishing starts</w:t>
      </w:r>
      <w:r w:rsidR="00DA0CC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DA0CC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607E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parameters of </w:t>
      </w:r>
      <w:r w:rsidR="004544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modelled stock function</w:t>
      </w:r>
      <w:r w:rsidR="001607E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are</w:t>
      </w:r>
      <w:r w:rsidR="004544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disclosed and becomes common knowledge. </w:t>
      </w:r>
      <w:r w:rsidR="001607E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</w:t>
      </w:r>
      <w:r w:rsidR="009B244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planner </w:t>
      </w:r>
      <w:r w:rsidR="001607E4" w:rsidRPr="001607E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promise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1607E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that parameter values </w:t>
      </w:r>
      <w:r w:rsidR="009B244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will</w:t>
      </w:r>
      <w:r w:rsidR="001607E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not </w:t>
      </w:r>
      <w:r w:rsidR="009B244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be </w:t>
      </w:r>
      <w:r w:rsidR="001607E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updated during the regulation period</w:t>
      </w:r>
      <w:r w:rsidR="009B244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and t</w:t>
      </w:r>
      <w:r w:rsidR="004544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hereafter, </w:t>
      </w:r>
      <w:r w:rsidR="00DA0CC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each vessel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i</m:t>
        </m:r>
      </m:oMath>
      <w:r w:rsidR="00DA0CC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 the industry is informed that its </w:t>
      </w:r>
      <w:r w:rsidR="003336D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revenue</w:t>
      </w:r>
      <w:r w:rsidR="00DA0CC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for landed fish will be </w:t>
      </w:r>
    </w:p>
    <w:p w14:paraId="3A8166A8" w14:textId="59C83A0B" w:rsidR="0080422B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>
        <m:eqArr>
          <m:eqArrPr>
            <m:maxDist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eqAr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=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p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q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nb-NO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nb-NO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nb-NO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nb-NO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nb-NO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nb-NO"/>
                          </w:rPr>
                          <m:t>i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#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15</m:t>
                </m:r>
              </m:e>
            </m:d>
          </m:e>
        </m:eqArr>
      </m:oMath>
      <w:bookmarkEnd w:id="1"/>
      <w:r w:rsidR="00F1371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here</w:t>
      </w:r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is the amount of </w:t>
      </w:r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effort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chosen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by</w:t>
      </w:r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vessel. 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parameter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903C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can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be interpreted as</w:t>
      </w:r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fi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rm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i</m:t>
        </m:r>
      </m:oMath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’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 holding of share permits,</w:t>
      </w:r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or its allocated share of the total expected </w:t>
      </w:r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effort chosen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by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industry</w:t>
      </w:r>
      <w:r w:rsidR="00D0019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903C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where the</w:t>
      </w:r>
      <w:r w:rsidR="00A84980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total </w:t>
      </w:r>
      <w:r w:rsidR="00903C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is</w:t>
      </w:r>
      <w:r w:rsidR="00D66DC3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≔1</m:t>
        </m:r>
      </m:oMath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80422B" w:rsidRPr="00DE48B8">
        <w:rPr>
          <w:rFonts w:ascii="Times New Roman" w:hAnsi="Times New Roman" w:cs="Times New Roman"/>
          <w:lang w:val="en-US"/>
        </w:rPr>
        <w:t>Note that th</w:t>
      </w:r>
      <w:r w:rsidR="0080422B">
        <w:rPr>
          <w:rFonts w:ascii="Times New Roman" w:hAnsi="Times New Roman" w:cs="Times New Roman"/>
          <w:lang w:val="en-US"/>
        </w:rPr>
        <w:t>e latter</w:t>
      </w:r>
      <w:r w:rsidR="0080422B" w:rsidRPr="00DE48B8">
        <w:rPr>
          <w:rFonts w:ascii="Times New Roman" w:hAnsi="Times New Roman" w:cs="Times New Roman"/>
          <w:lang w:val="en-US"/>
        </w:rPr>
        <w:t xml:space="preserve"> interpretation 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80422B" w:rsidRPr="00DE48B8">
        <w:rPr>
          <w:rFonts w:ascii="Times New Roman" w:eastAsiaTheme="minorEastAsia" w:hAnsi="Times New Roman" w:cs="Times New Roman"/>
          <w:lang w:val="en-US"/>
        </w:rPr>
        <w:t xml:space="preserve"> </w:t>
      </w:r>
      <w:r w:rsidR="0080422B" w:rsidRPr="00DE48B8">
        <w:rPr>
          <w:rFonts w:ascii="Times New Roman" w:hAnsi="Times New Roman" w:cs="Times New Roman"/>
          <w:lang w:val="en-US"/>
        </w:rPr>
        <w:t>might be a little misleading.</w:t>
      </w:r>
      <w:r w:rsidR="000818BE">
        <w:rPr>
          <w:rFonts w:ascii="Times New Roman" w:hAnsi="Times New Roman" w:cs="Times New Roman"/>
          <w:lang w:val="en-US"/>
        </w:rPr>
        <w:t xml:space="preserve"> It is only</w:t>
      </w:r>
      <w:r w:rsidR="000818BE" w:rsidRPr="00DE48B8">
        <w:rPr>
          <w:rFonts w:ascii="Times New Roman" w:hAnsi="Times New Roman" w:cs="Times New Roman"/>
          <w:lang w:val="en-US"/>
        </w:rPr>
        <w:t xml:space="preserve"> </w:t>
      </w:r>
      <w:r w:rsidR="000818BE">
        <w:rPr>
          <w:rFonts w:ascii="Times New Roman" w:hAnsi="Times New Roman" w:cs="Times New Roman"/>
          <w:lang w:val="en-US"/>
        </w:rPr>
        <w:t xml:space="preserve">a </w:t>
      </w:r>
      <w:r w:rsidR="000818BE" w:rsidRPr="00DE48B8">
        <w:rPr>
          <w:rFonts w:ascii="Times New Roman" w:hAnsi="Times New Roman" w:cs="Times New Roman"/>
          <w:lang w:val="en-US"/>
        </w:rPr>
        <w:t>parameter in the</w:t>
      </w:r>
      <w:r w:rsidR="000818BE">
        <w:rPr>
          <w:rFonts w:ascii="Times New Roman" w:hAnsi="Times New Roman" w:cs="Times New Roman"/>
          <w:lang w:val="en-US"/>
        </w:rPr>
        <w:t xml:space="preserve"> individual</w:t>
      </w:r>
      <w:r w:rsidR="000818BE" w:rsidRPr="00DE48B8">
        <w:rPr>
          <w:rFonts w:ascii="Times New Roman" w:hAnsi="Times New Roman" w:cs="Times New Roman"/>
          <w:lang w:val="en-US"/>
        </w:rPr>
        <w:t xml:space="preserve"> revenue function (15) rather than </w:t>
      </w:r>
      <w:r w:rsidR="000818BE">
        <w:rPr>
          <w:rFonts w:ascii="Times New Roman" w:hAnsi="Times New Roman" w:cs="Times New Roman"/>
          <w:lang w:val="en-US"/>
        </w:rPr>
        <w:t>a</w:t>
      </w:r>
      <w:r w:rsidR="000818BE" w:rsidRPr="00DE48B8">
        <w:rPr>
          <w:rFonts w:ascii="Times New Roman" w:hAnsi="Times New Roman" w:cs="Times New Roman"/>
          <w:lang w:val="en-US"/>
        </w:rPr>
        <w:t xml:space="preserve"> unit of permissible effort. It turns out to map into the firm’s share of total effort </w:t>
      </w:r>
      <w:r w:rsidR="000818BE">
        <w:rPr>
          <w:rFonts w:ascii="Times New Roman" w:hAnsi="Times New Roman" w:cs="Times New Roman"/>
          <w:lang w:val="en-US"/>
        </w:rPr>
        <w:t xml:space="preserve">only if </w:t>
      </w:r>
      <w:r w:rsidR="000818BE" w:rsidRPr="00DE48B8">
        <w:rPr>
          <w:rFonts w:ascii="Times New Roman" w:hAnsi="Times New Roman" w:cs="Times New Roman"/>
          <w:lang w:val="en-US"/>
        </w:rPr>
        <w:t>all firms</w:t>
      </w:r>
      <w:r w:rsidR="000818BE">
        <w:rPr>
          <w:rFonts w:ascii="Times New Roman" w:hAnsi="Times New Roman" w:cs="Times New Roman"/>
          <w:lang w:val="en-US"/>
        </w:rPr>
        <w:t xml:space="preserve"> behave optimal</w:t>
      </w:r>
      <w:r w:rsidR="000818BE" w:rsidRPr="00DE48B8">
        <w:rPr>
          <w:rFonts w:ascii="Times New Roman" w:hAnsi="Times New Roman" w:cs="Times New Roman"/>
          <w:lang w:val="en-US"/>
        </w:rPr>
        <w:t>. But</w:t>
      </w:r>
      <w:r w:rsidR="000818BE">
        <w:rPr>
          <w:rFonts w:ascii="Times New Roman" w:hAnsi="Times New Roman" w:cs="Times New Roman"/>
          <w:lang w:val="en-US"/>
        </w:rPr>
        <w:t xml:space="preserve"> in no way</w:t>
      </w:r>
      <w:r w:rsidR="00D726BC">
        <w:rPr>
          <w:rFonts w:ascii="Times New Roman" w:hAnsi="Times New Roman" w:cs="Times New Roman"/>
          <w:lang w:val="en-US"/>
        </w:rPr>
        <w:t xml:space="preserve"> </w:t>
      </w:r>
      <w:r w:rsidR="00222C4C">
        <w:rPr>
          <w:rFonts w:ascii="Times New Roman" w:hAnsi="Times New Roman" w:cs="Times New Roman"/>
          <w:lang w:val="en-US"/>
        </w:rPr>
        <w:t>the</w:t>
      </w:r>
      <w:r w:rsidR="000818BE" w:rsidRPr="00DE48B8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0818BE">
        <w:rPr>
          <w:rFonts w:ascii="Times New Roman" w:eastAsiaTheme="minorEastAsia" w:hAnsi="Times New Roman" w:cs="Times New Roman"/>
          <w:lang w:val="en-US"/>
        </w:rPr>
        <w:t xml:space="preserve"> </w:t>
      </w:r>
      <w:r w:rsidR="00222C4C">
        <w:rPr>
          <w:rFonts w:ascii="Times New Roman" w:eastAsiaTheme="minorEastAsia" w:hAnsi="Times New Roman" w:cs="Times New Roman"/>
          <w:lang w:val="en-US"/>
        </w:rPr>
        <w:t>parameter</w:t>
      </w:r>
      <w:r w:rsidR="000818BE">
        <w:rPr>
          <w:rFonts w:ascii="Times New Roman" w:eastAsiaTheme="minorEastAsia" w:hAnsi="Times New Roman" w:cs="Times New Roman"/>
          <w:lang w:val="en-US"/>
        </w:rPr>
        <w:t xml:space="preserve"> </w:t>
      </w:r>
      <w:r w:rsidR="000818BE" w:rsidRPr="00DE48B8">
        <w:rPr>
          <w:rFonts w:ascii="Times New Roman" w:hAnsi="Times New Roman" w:cs="Times New Roman"/>
          <w:lang w:val="en-US"/>
        </w:rPr>
        <w:t>restricts the vessel owner from choosing more or less effort than the given share of the total.</w:t>
      </w:r>
    </w:p>
    <w:p w14:paraId="13E4584B" w14:textId="63D86C17" w:rsidR="0005360C" w:rsidRPr="00AD43A9" w:rsidRDefault="00A84980" w:rsidP="00FA7A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If the planner were in the possession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of adequate information to perfectly foresee the relation between the ex post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optimal 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effort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of 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vessels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he/she would be able to portion out optimal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holdings. </w:t>
      </w:r>
      <w:r w:rsidR="001B4FC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That will be 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situation</w:t>
      </w:r>
      <w:r w:rsidR="001B4FC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"</w:t>
      </w:r>
      <w:r w:rsidRPr="00AD43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>n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equal 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vessels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" case,</w:t>
      </w:r>
      <w:r w:rsidR="002A18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which yields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n</m:t>
            </m:r>
          </m:den>
        </m:f>
      </m:oMath>
      <w:r w:rsidR="002A187D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2A18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for all </w:t>
      </w:r>
      <w:r w:rsidR="002A18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>i</w:t>
      </w:r>
      <w:r w:rsidR="002A187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 T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he result of </w:t>
      </w:r>
      <w:r w:rsidR="00733F1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applying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revenue 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schedule (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15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) 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to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each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fi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rm would be a series of optimal choices within the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industry.</w:t>
      </w:r>
      <w:r w:rsidR="0005360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</w:p>
    <w:p w14:paraId="2AD164B2" w14:textId="467C1C20" w:rsidR="00602CF4" w:rsidRDefault="00DE48B8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  <w:r w:rsidR="003C65C5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first order condition of (15)</w:t>
      </w:r>
      <w:r w:rsidR="00A1752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733F1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minus costs,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-c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  <w:r w:rsidR="00733F1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w:r w:rsidR="00B5175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using (5) is</w:t>
      </w:r>
    </w:p>
    <w:p w14:paraId="224FC840" w14:textId="458CDDB7" w:rsidR="00A91D43" w:rsidRPr="00A91D43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q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r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r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q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c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=0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16</m:t>
                  </m:r>
                </m:e>
              </m:d>
            </m:e>
          </m:eqArr>
        </m:oMath>
      </m:oMathPara>
    </w:p>
    <w:p w14:paraId="0F4EC6E5" w14:textId="2D0B796E" w:rsidR="005B4C9D" w:rsidRDefault="005B4C9D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</w:t>
      </w:r>
      <w:r w:rsidR="00B5175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hich solve</w:t>
      </w:r>
      <w:r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B5175C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to</w:t>
      </w:r>
      <w:r w:rsidR="00F860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43315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effort of the sole owner (8) times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</w:p>
    <w:p w14:paraId="64BFFD0E" w14:textId="49841DE8" w:rsidR="00A91D43" w:rsidRPr="00A91D43" w:rsidRDefault="00365091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p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c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r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2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so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17</m:t>
                  </m:r>
                </m:e>
              </m:d>
            </m:e>
          </m:eqArr>
        </m:oMath>
      </m:oMathPara>
    </w:p>
    <w:p w14:paraId="307AE482" w14:textId="29F618FC" w:rsidR="00371B1B" w:rsidRPr="00DF4CEC" w:rsidRDefault="00903CB3" w:rsidP="00371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This</w:t>
      </w:r>
      <w:r w:rsidR="00E869A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43315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may </w:t>
      </w:r>
      <w:r w:rsidR="00E869A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give the optimal total effort </w:t>
      </w:r>
      <w:r w:rsidR="0043315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promoted by a social planner </w:t>
      </w:r>
      <w:r w:rsidR="009B539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that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may</w:t>
      </w:r>
      <w:r w:rsidR="00E869A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also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be</w:t>
      </w:r>
      <w:r w:rsidR="00E869A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distribute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d</w:t>
      </w:r>
      <w:r w:rsidR="00E869A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between vessels in an optimal way.</w:t>
      </w:r>
      <w:r w:rsidR="00E869A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We see this by s</w:t>
      </w:r>
      <w:r w:rsidR="00FE62E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umming up shares </w:t>
      </w:r>
      <w:r w:rsidR="00E869A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≔1</m:t>
        </m:r>
      </m:oMath>
      <w:r w:rsidR="00E869A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where we get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 xml:space="preserve"> 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so</m:t>
            </m:r>
          </m:sub>
        </m:sSub>
      </m:oMath>
      <w:r w:rsidR="00E869A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 (8)</w:t>
      </w:r>
      <w:r w:rsidR="009B539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i. e. </w:t>
      </w:r>
      <w:r w:rsidR="00E869A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</w:t>
      </w:r>
      <w:r w:rsidR="009B539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chosen by the 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sole owner.</w:t>
      </w:r>
      <w:r w:rsidR="00371B1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Individual profit </w:t>
      </w:r>
      <w:r w:rsidR="00DF4CE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under optimal effort </w:t>
      </w:r>
      <w:r w:rsidR="00371B1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becomes</w:t>
      </w:r>
    </w:p>
    <w:p w14:paraId="36E2A905" w14:textId="1CB448C2" w:rsidR="00371B1B" w:rsidRDefault="00365091" w:rsidP="00371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q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x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 w:eastAsia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 w:eastAsia="nb-NO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 w:eastAsia="nb-NO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 w:eastAsia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 w:eastAsia="nb-NO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 w:eastAsia="nb-NO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c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nb-NO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p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q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nb-NO"/>
                            </w:rPr>
                            <m:t>c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r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4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18</m:t>
                  </m:r>
                </m:e>
              </m:d>
            </m:e>
          </m:eqArr>
        </m:oMath>
      </m:oMathPara>
    </w:p>
    <w:p w14:paraId="7A467220" w14:textId="77777777" w:rsidR="00351E79" w:rsidRDefault="00351E79" w:rsidP="00FA7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392F33AD" w14:textId="5D6C6D77" w:rsidR="00BE6B1D" w:rsidRDefault="00BE6B1D" w:rsidP="00FA7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0F2256" w14:textId="0582E584" w:rsidR="00BE6B1D" w:rsidRDefault="00BE6B1D" w:rsidP="00FA7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6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3167F6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CD06B3">
        <w:rPr>
          <w:rFonts w:ascii="Times New Roman" w:hAnsi="Times New Roman" w:cs="Times New Roman"/>
          <w:b/>
          <w:bCs/>
          <w:sz w:val="24"/>
          <w:szCs w:val="24"/>
          <w:lang w:val="en-US"/>
        </w:rPr>
        <w:t>HE MEDITERRANEAN CASE</w:t>
      </w:r>
    </w:p>
    <w:p w14:paraId="261D989D" w14:textId="18118002" w:rsidR="00A100A8" w:rsidRDefault="00A100A8" w:rsidP="00FA7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bookmarkStart w:id="2" w:name="_Hlk83722842"/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Mediterranean fisheries are</w:t>
      </w:r>
      <w:r w:rsidR="00A6210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 case in point when it comes to effort or input management. These fisheries are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managed by controlling input through effort limitations and technical restrictions, contrary to other EU fisheries that are regulated by catch quotas (output</w:t>
      </w:r>
      <w:r w:rsidR="00A6210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controls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) (Lleonart and Maynou 2003). This fisheries management model was enshrined in the EU Common Fisheries Policy (CFP) as the “Mediterranean specificity” (EU 2006) and has contributed to determine the non-adaptive character of fisheries management in the region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lastRenderedPageBreak/>
        <w:t xml:space="preserve">(Penas Lado 2016); that is, fishing effort is not annually revised to meet some specified optimality criterion. The lack of annual revision of fishing effort to match existing fishing opportunities has led to </w:t>
      </w:r>
      <w:r w:rsidR="00A6210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excessive harvest, overcapacity and economic inefficiencies (Vielmini et al. 2017; Gómez and Maynou 2020). To redress these problems, the EU has 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established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subregional Multi-Annual Plans (MAP) to align fishing effort with fishing mortality at maximum sustainable yield</w:t>
      </w:r>
      <w:r w:rsidR="00A6210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(MSY)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for the main fish stocks within a specified time frame, as envisaged in the 2013 reform of the CFP (EU 2013). For instance, in the Western Mediterranean, a MAP for demersal resources aims at reducing effort </w:t>
      </w:r>
      <w:r w:rsidR="000518E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40%</w:t>
      </w:r>
      <w:r w:rsidR="000518E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by the end of 20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2</w:t>
      </w:r>
      <w:r w:rsidR="000518E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4 compared to actual days for 2016-18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by setting the number of fishing days per fleet </w:t>
      </w:r>
      <w:r w:rsidRPr="000518E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segment (</w:t>
      </w:r>
      <w:r w:rsidRPr="000518E9">
        <w:rPr>
          <w:rFonts w:ascii="Times New Roman" w:hAnsi="Times New Roman" w:cs="Times New Roman"/>
          <w:sz w:val="24"/>
          <w:szCs w:val="24"/>
          <w:lang w:val="en-GB"/>
        </w:rPr>
        <w:t>COM/2018/0115 final – 2018/050 (COD)</w:t>
      </w:r>
      <w:r w:rsidRPr="000518E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</w:p>
    <w:p w14:paraId="486A028A" w14:textId="3277ADB2" w:rsidR="000D21C0" w:rsidRDefault="00A100A8" w:rsidP="00694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  <w:r w:rsidR="002B4C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</w:t>
      </w:r>
      <w:r w:rsidR="002B4C39" w:rsidRPr="00E81C7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</w:t>
      </w:r>
      <w:r w:rsidR="00A6210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us, th</w:t>
      </w:r>
      <w:r w:rsidR="002B4C39" w:rsidRPr="00E81C7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 problem of effort shares is very pertinent, particularly in the Mediterranean multi-annual plan where the total effort available (days/year) is now being allocated by individual vessel, according to some historical values as "effort shares"</w:t>
      </w:r>
      <w:r w:rsidR="002B4C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  <w:r w:rsidR="002B4C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8131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 retrospect </w:t>
      </w:r>
      <w:r w:rsidR="003167F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total</w:t>
      </w:r>
      <w:r w:rsidR="008131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effort may have been set too high. </w:t>
      </w:r>
      <w:r w:rsidR="003167F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</w:p>
    <w:p w14:paraId="41082832" w14:textId="77777777" w:rsidR="00A6210D" w:rsidRDefault="00A6210D" w:rsidP="00FA7A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ab/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The objective of the Western Mediterranean Multi-Annual Management Plan (WM MAP) is to achieve (Fmsy) by 1st Jan. 2025 for the main five target species European hake (</w:t>
      </w:r>
      <w:r w:rsidR="000D21C0" w:rsidRPr="00A6210D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en-GB"/>
        </w:rPr>
        <w:t>Merluccius merluccius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), red mullet (</w:t>
      </w:r>
      <w:r w:rsidR="000D21C0" w:rsidRPr="00A6210D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en-GB"/>
        </w:rPr>
        <w:t>Mullus barbatus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), Norway lobster (</w:t>
      </w:r>
      <w:r w:rsidR="000D21C0" w:rsidRPr="00A6210D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en-GB"/>
        </w:rPr>
        <w:t>Nephrops norvegicus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), deep-water rose shrimp (</w:t>
      </w:r>
      <w:r w:rsidR="000D21C0" w:rsidRPr="00A6210D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en-GB"/>
        </w:rPr>
        <w:t>Parapenaeus longirostris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) and red shrimp (</w:t>
      </w:r>
      <w:r w:rsidR="000D21C0" w:rsidRPr="00A6210D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en-GB"/>
        </w:rPr>
        <w:t>Aristeus antennatus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).</w:t>
      </w:r>
    </w:p>
    <w:p w14:paraId="33A48931" w14:textId="590365A7" w:rsidR="000D21C0" w:rsidRPr="000D21C0" w:rsidRDefault="00A6210D" w:rsidP="00FA7A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ab/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Our case study models demersal fisheries in the NW Mediterranean, focusing on geographical subarea GSA06 (</w:t>
      </w:r>
      <w:r w:rsidR="00CD06B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 xml:space="preserve">the 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Mediterranean coast of Spain</w:t>
      </w:r>
      <w:r>
        <w:rPr>
          <w:rStyle w:val="Fotnotereferanse"/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footnoteReference w:id="3"/>
      </w:r>
      <w:r w:rsidR="00CD06B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)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. Demersal fisheries are exploited mainly by otter bottom trawl (about 80% of demersal landings), with fishing vessels of 14 - 28 m length overall based on the 40 fishing harbours (578 vessels were active in 2019).</w:t>
      </w:r>
    </w:p>
    <w:p w14:paraId="4E7C8218" w14:textId="4A67D6EC" w:rsidR="000D21C0" w:rsidRPr="00A6210D" w:rsidRDefault="00A6210D" w:rsidP="00FA7A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ab/>
        <w:t xml:space="preserve">The five 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 xml:space="preserve">main stocks that define the policy objective make up 48% of the landings of the demersal fishery, the remainder comes from dozens of other secondary species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 xml:space="preserve">(see 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 xml:space="preserve">Akbari </w:t>
      </w:r>
      <w:r w:rsidR="000D21C0" w:rsidRPr="00A6210D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en-GB"/>
        </w:rPr>
        <w:t>et al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 xml:space="preserve">.,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2021)</w:t>
      </w:r>
      <w:r w:rsidR="000D21C0" w:rsidRPr="000D21C0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en-GB"/>
        </w:rPr>
        <w:t>. For this reason and for model simplicity we are treating the stock as aggregate here.</w:t>
      </w:r>
    </w:p>
    <w:p w14:paraId="2D9F1858" w14:textId="44F00F02" w:rsidR="00741CD7" w:rsidRPr="00C36DBB" w:rsidRDefault="00180291" w:rsidP="00770C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model was parameteri</w:t>
      </w:r>
      <w:r w:rsidR="00A100A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ed from data for the bottom trawl demersal fishery in GSA 06, available for the period 2008-2016 in STECF (2020</w:t>
      </w:r>
      <w:r w:rsidR="00A6210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)</w:t>
      </w:r>
      <w:r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complemented with our own data for 2017-2019 obtained by interviews 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of</w:t>
      </w:r>
      <w:r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vessel skippers (Gómez and Maynou 2020). The parameters of the biological submodel were estimated with ASPIC 7 (Prager et al. 1996)</w:t>
      </w:r>
      <w:r w:rsidR="00A8497A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</w:t>
      </w:r>
      <w:r w:rsidR="00A8497A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lastRenderedPageBreak/>
        <w:t xml:space="preserve">are </w:t>
      </w:r>
      <w:r w:rsidR="00A6210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given</w:t>
      </w:r>
      <w:r w:rsidR="00A8497A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 </w:t>
      </w:r>
      <w:r w:rsidR="00A6210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</w:t>
      </w:r>
      <w:r w:rsidR="00A8497A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able 1.</w:t>
      </w:r>
      <w:r w:rsidR="00741CD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combined carrying capacity of the stocks harvested by this fleet is 19,900 tonnes with the instrinsic growth rate estimated at</w:t>
      </w:r>
      <w:r w:rsidR="00D867B3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C36DB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2.5. This implies that the stock level giving rise to maximum sustainable yi</w:t>
      </w:r>
      <w:r w:rsidR="00250BE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eld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MSY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</m:t>
        </m:r>
      </m:oMath>
      <w:r w:rsidR="00250BE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C36DB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is 9,950 tonnes with MSY equal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MSY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rK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</m:t>
        </m:r>
      </m:oMath>
      <w:r w:rsidR="00250BE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C36DB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12,473.5 tonnes. </w:t>
      </w:r>
    </w:p>
    <w:p w14:paraId="23FA237C" w14:textId="2CACD2AA" w:rsidR="00903CB3" w:rsidRDefault="00C9720E" w:rsidP="00770C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</w:t>
      </w:r>
      <w:r w:rsidR="00A6210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2019,</w:t>
      </w:r>
      <w:r w:rsidR="00E7151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EF450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</w:t>
      </w:r>
      <w:r w:rsidR="00E81C7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fishing </w:t>
      </w:r>
      <w:r w:rsidR="00E81C74" w:rsidRPr="00E81C7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fleet</w:t>
      </w:r>
      <w:r w:rsidR="00E81C7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E7122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consisted of</w:t>
      </w:r>
      <w:r w:rsidR="00E81C74" w:rsidRPr="00E81C7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578 vessels</w:t>
      </w:r>
      <w:r w:rsidR="00BE2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each</w:t>
      </w:r>
      <w:r w:rsidR="00E81C74" w:rsidRPr="00E81C7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BE2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operating between 1</w:t>
      </w:r>
      <w:r w:rsidR="00E81C74" w:rsidRPr="00E81C7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20 </w:t>
      </w:r>
      <w:r w:rsidR="00BE2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and</w:t>
      </w:r>
      <w:r w:rsidR="00E81C74" w:rsidRPr="00E81C7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190 days, on average 155 days</w:t>
      </w:r>
      <w:r w:rsidR="00150420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C36DB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Thus, total effort in days was 89,590.</w:t>
      </w:r>
      <w:r w:rsidR="00B9340F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BE230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Total catches were 10,640 tonnes. </w:t>
      </w:r>
      <w:r w:rsidR="00A8497A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Table 1 shows also</w:t>
      </w:r>
      <w:r w:rsidR="00EF4501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price,</w:t>
      </w:r>
      <w:r w:rsidR="00A8497A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costs and production estimated for 2019.</w:t>
      </w:r>
      <w:r w:rsidR="00EF4501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012DA9" w:rsidRPr="00770C6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bookmarkEnd w:id="2"/>
    </w:p>
    <w:p w14:paraId="770CA44E" w14:textId="77777777" w:rsidR="00903CB3" w:rsidRPr="00903CB3" w:rsidRDefault="00903CB3" w:rsidP="00903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tbl>
      <w:tblPr>
        <w:tblW w:w="8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046"/>
        <w:gridCol w:w="1793"/>
      </w:tblGrid>
      <w:tr w:rsidR="00903CB3" w:rsidRPr="00F2148B" w14:paraId="47AD2EB5" w14:textId="77777777" w:rsidTr="00612403">
        <w:trPr>
          <w:trHeight w:val="300"/>
        </w:trPr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4789" w14:textId="301E145E" w:rsidR="00903CB3" w:rsidRPr="00903CB3" w:rsidRDefault="00903CB3" w:rsidP="00A6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  <w:lang w:val="en-US" w:eastAsia="nb-NO"/>
              </w:rPr>
            </w:pPr>
            <w:bookmarkStart w:id="3" w:name="_Hlk78552319"/>
            <w:r w:rsidRPr="00903C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nb-NO"/>
              </w:rPr>
              <w:t xml:space="preserve">Table 1: </w:t>
            </w:r>
            <w:bookmarkStart w:id="4" w:name="_Hlk81129661"/>
            <w:r w:rsidRPr="00903C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nb-NO"/>
              </w:rPr>
              <w:t xml:space="preserve">Parameters for </w:t>
            </w:r>
            <w:bookmarkStart w:id="5" w:name="_Hlk78882926"/>
            <w:r w:rsidR="00A621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nb-NO"/>
              </w:rPr>
              <w:t xml:space="preserve">the </w:t>
            </w:r>
            <w:r w:rsidRPr="00903C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nb-NO"/>
              </w:rPr>
              <w:t>NW Med</w:t>
            </w:r>
            <w:r w:rsidR="00A621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nb-NO"/>
              </w:rPr>
              <w:t>iterranean</w:t>
            </w:r>
            <w:r w:rsidRPr="00903C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nb-NO"/>
              </w:rPr>
              <w:t xml:space="preserve"> demersal fishery </w:t>
            </w:r>
            <w:bookmarkEnd w:id="4"/>
            <w:bookmarkEnd w:id="5"/>
            <w:r w:rsidRPr="00903C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nb-NO"/>
              </w:rPr>
              <w:t>exploited by otter bottom trawl</w:t>
            </w:r>
          </w:p>
        </w:tc>
      </w:tr>
      <w:tr w:rsidR="00903CB3" w:rsidRPr="00903CB3" w14:paraId="3348E514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2E2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Fleet size (2019)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07AD" w14:textId="77777777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578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4DF1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vessels</w:t>
            </w:r>
          </w:p>
        </w:tc>
      </w:tr>
      <w:tr w:rsidR="00903CB3" w:rsidRPr="00903CB3" w14:paraId="0D39C3A0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F188" w14:textId="76F5B1F7" w:rsidR="00903CB3" w:rsidRPr="00903CB3" w:rsidRDefault="00741CD7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I</w:t>
            </w:r>
            <w:r w:rsidR="00903CB3"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ndividual effort level (number of fishing days)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A9E6" w14:textId="6D7B4B54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  <w:r w:rsidR="004C42E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0 -</w:t>
            </w:r>
            <w:r w:rsidRPr="00741CD7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EF0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days / year</w:t>
            </w:r>
          </w:p>
        </w:tc>
      </w:tr>
      <w:tr w:rsidR="00903CB3" w:rsidRPr="00903CB3" w14:paraId="09BC87AA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27AB5" w14:textId="5BD0488C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</w:pPr>
            <w:r w:rsidRPr="0090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individual effort (number of fishing days)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A6AB0" w14:textId="77777777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741C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BC260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hAnsi="Times New Roman" w:cs="Times New Roman"/>
                <w:sz w:val="24"/>
                <w:szCs w:val="24"/>
              </w:rPr>
              <w:t>days / year</w:t>
            </w:r>
          </w:p>
        </w:tc>
      </w:tr>
      <w:tr w:rsidR="00903CB3" w:rsidRPr="00903CB3" w14:paraId="37F14597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D5F" w14:textId="69B102CB" w:rsidR="00903CB3" w:rsidRPr="00903CB3" w:rsidRDefault="00741CD7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Harvest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5B9" w14:textId="2E05CA68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10</w:t>
            </w:r>
            <w:r w:rsidR="004C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,</w:t>
            </w: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640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1FD" w14:textId="4938EB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ton</w:t>
            </w:r>
            <w:r w:rsidR="00BE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ne</w:t>
            </w: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s</w:t>
            </w:r>
          </w:p>
        </w:tc>
      </w:tr>
      <w:tr w:rsidR="00903CB3" w:rsidRPr="00F2148B" w14:paraId="388EF752" w14:textId="77777777" w:rsidTr="00612403">
        <w:trPr>
          <w:trHeight w:val="300"/>
        </w:trPr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A112" w14:textId="77777777" w:rsidR="00903CB3" w:rsidRPr="00741CD7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Biological production function (Schaefer model)</w:t>
            </w:r>
          </w:p>
        </w:tc>
      </w:tr>
      <w:tr w:rsidR="00903CB3" w:rsidRPr="00903CB3" w14:paraId="11163E0A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DF13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K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762" w14:textId="22E757BC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19</w:t>
            </w:r>
            <w:r w:rsidR="00A6210D"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,</w:t>
            </w: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900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B1A0" w14:textId="531434C1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</w:t>
            </w:r>
            <w:r w:rsidR="00BE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onnes</w:t>
            </w:r>
          </w:p>
        </w:tc>
      </w:tr>
      <w:tr w:rsidR="00903CB3" w:rsidRPr="00903CB3" w14:paraId="48CF0485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33A" w14:textId="4281BAEB" w:rsidR="00903CB3" w:rsidRPr="00903CB3" w:rsidRDefault="00CD06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4763" w14:textId="6E1B4B27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2</w:t>
            </w:r>
            <w:r w:rsidR="00BE2303"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.</w:t>
            </w: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6719" w14:textId="6E240DD0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903CB3" w:rsidRPr="00903CB3" w14:paraId="24713153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455F" w14:textId="32516551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q   =  0.00397 (ton</w:t>
            </w:r>
            <w:r w:rsidR="008B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ne</w:t>
            </w: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/year)/155 =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2C4C" w14:textId="77777777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2.56 10</w:t>
            </w:r>
            <w:r w:rsidRPr="00741C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b-NO"/>
              </w:rPr>
              <w:t>-5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30D4" w14:textId="6F585C2C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ton</w:t>
            </w:r>
            <w:r w:rsidR="00BE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ne</w:t>
            </w: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/day</w:t>
            </w:r>
          </w:p>
        </w:tc>
      </w:tr>
      <w:tr w:rsidR="00903CB3" w:rsidRPr="00903CB3" w14:paraId="24F0056C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5210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Economic parameters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EC94" w14:textId="77777777" w:rsidR="00903CB3" w:rsidRPr="00741CD7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CF86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03CB3" w:rsidRPr="00903CB3" w14:paraId="1B60B3E9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D7D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price of fish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F24D" w14:textId="4B75A449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9</w:t>
            </w:r>
            <w:r w:rsidR="00741CD7"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,</w:t>
            </w: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472,5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4F29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€/tonne</w:t>
            </w:r>
          </w:p>
        </w:tc>
      </w:tr>
      <w:tr w:rsidR="00903CB3" w:rsidRPr="00903CB3" w14:paraId="1356EB1D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0435" w14:textId="0634379F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costs per unit effort</w:t>
            </w:r>
            <w:r w:rsidR="006A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51F9" w14:textId="77777777" w:rsidR="00903CB3" w:rsidRPr="00741CD7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ACDF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03CB3" w:rsidRPr="00903CB3" w14:paraId="67A642FD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7402" w14:textId="785D0F42" w:rsidR="00903CB3" w:rsidRPr="00903CB3" w:rsidRDefault="009B4F40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F</w:t>
            </w:r>
            <w:r w:rsidR="00903CB3"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uel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143F" w14:textId="77777777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6C1C" w14:textId="155307B2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€/day</w:t>
            </w:r>
          </w:p>
        </w:tc>
      </w:tr>
      <w:tr w:rsidR="00903CB3" w:rsidRPr="00903CB3" w14:paraId="33DBB02B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D56D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labour costs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978E" w14:textId="77777777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438,7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FE39" w14:textId="497DBF12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€/day</w:t>
            </w:r>
          </w:p>
        </w:tc>
      </w:tr>
      <w:tr w:rsidR="00903CB3" w:rsidRPr="00903CB3" w14:paraId="00E7F7AD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24D6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other variable costs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D699" w14:textId="77777777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319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6F8C" w14:textId="5E02E4FC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€/day</w:t>
            </w:r>
          </w:p>
        </w:tc>
      </w:tr>
      <w:tr w:rsidR="00903CB3" w:rsidRPr="00903CB3" w14:paraId="3B3673D9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5999" w14:textId="77777777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Total variable costs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B33CC" w14:textId="77777777" w:rsidR="00903CB3" w:rsidRPr="00741CD7" w:rsidRDefault="00903CB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997.7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F1005" w14:textId="682F956A" w:rsidR="00903CB3" w:rsidRPr="00903CB3" w:rsidRDefault="00903CB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€/day</w:t>
            </w:r>
            <w:r w:rsidRPr="0090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612403" w:rsidRPr="00903CB3" w14:paraId="2AB5930A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121E" w14:textId="33AF15DE" w:rsidR="00612403" w:rsidRPr="00903CB3" w:rsidRDefault="0061240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F</w:t>
            </w: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ixed costs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ECAE9" w14:textId="5EE6B598" w:rsidR="00612403" w:rsidRPr="00741CD7" w:rsidRDefault="0061240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69.0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B2775" w14:textId="45C6E95F" w:rsidR="00612403" w:rsidRPr="00903CB3" w:rsidRDefault="0061240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€/day</w:t>
            </w:r>
            <w:r w:rsidRPr="0090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612403" w:rsidRPr="00903CB3" w14:paraId="192B0B97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6B0D1" w14:textId="27549574" w:rsidR="00612403" w:rsidRPr="00612403" w:rsidRDefault="0061240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total costs per unit effort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9EEA8" w14:textId="72F64646" w:rsidR="00612403" w:rsidRPr="00741CD7" w:rsidRDefault="0061240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7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1066.7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8DBB" w14:textId="15BD0587" w:rsidR="00612403" w:rsidRPr="00903CB3" w:rsidRDefault="0061240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90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€/day</w:t>
            </w:r>
          </w:p>
        </w:tc>
      </w:tr>
      <w:tr w:rsidR="00612403" w:rsidRPr="00903CB3" w14:paraId="00A72168" w14:textId="77777777" w:rsidTr="0061240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84C5D" w14:textId="2C56EB43" w:rsidR="00612403" w:rsidRPr="00903CB3" w:rsidRDefault="0061240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66193" w14:textId="7DF49DCE" w:rsidR="00612403" w:rsidRPr="00741CD7" w:rsidRDefault="00612403" w:rsidP="0095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A43C7" w14:textId="41DAB23D" w:rsidR="00612403" w:rsidRPr="00903CB3" w:rsidRDefault="00612403" w:rsidP="00954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</w:tbl>
    <w:bookmarkEnd w:id="3"/>
    <w:p w14:paraId="2EAA597D" w14:textId="77777777" w:rsidR="00C36DBB" w:rsidRDefault="009E0D3A" w:rsidP="009E0D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</w:p>
    <w:p w14:paraId="694C42AC" w14:textId="6D10D756" w:rsidR="00741CD7" w:rsidRPr="0084307A" w:rsidRDefault="00C36DBB" w:rsidP="00843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 f</w:t>
      </w:r>
      <w:r w:rsidR="009E0D3A" w:rsidRPr="005C614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igure 1</w:t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we illustrate</w:t>
      </w:r>
      <w:r w:rsidR="009E0D3A" w:rsidRPr="005C614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total revenue and total costs, both as functions of total effort,</w:t>
      </w:r>
      <w:r w:rsid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9E0D3A" w:rsidRP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for the demersal fishery under consideration</w:t>
      </w:r>
      <w:r w:rsidR="00741CD7" w:rsidRP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based on the parameters given in </w:t>
      </w:r>
      <w:r w:rsidR="009E0D3A" w:rsidRP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table 1</w:t>
      </w:r>
      <w:r w:rsidR="00741CD7" w:rsidRP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430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for</w:t>
      </w:r>
      <w:r w:rsidR="00741CD7" w:rsidRP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estimated </w:t>
      </w:r>
      <w:r w:rsidR="009E0D3A" w:rsidRP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Gordon-Schaefer model.</w:t>
      </w:r>
      <w:r w:rsidRP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We find that</w:t>
      </w:r>
      <w:bookmarkStart w:id="6" w:name="_Hlk83820783"/>
      <w:r w:rsidR="009E0D3A" w:rsidRP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MSY</m:t>
            </m:r>
          </m:sub>
        </m:sSub>
      </m:oMath>
      <w:r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vertAlign w:val="subscript"/>
          <w:lang w:val="en-US"/>
        </w:rPr>
        <w:t xml:space="preserve"> </w:t>
      </w:r>
      <w:bookmarkEnd w:id="6"/>
      <w:r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=48</w:t>
      </w:r>
      <w:r w:rsidR="00D36649"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,</w:t>
      </w:r>
      <w:r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804</w:t>
      </w:r>
      <w:r w:rsidR="00D36649"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days,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MEY</m:t>
            </m:r>
          </m:sub>
        </m:sSub>
      </m:oMath>
      <w:r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=38</w:t>
      </w:r>
      <w:r w:rsidR="00D36649"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,</w:t>
      </w:r>
      <w:r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021</w:t>
      </w:r>
      <w:r w:rsidR="00D36649"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days and</w:t>
      </w:r>
      <w:r w:rsidR="00D36649" w:rsidRPr="005E23F2">
        <w:rPr>
          <w:rFonts w:ascii="Times New Roman" w:hAnsi="Times New Roman" w:cs="Times New Roman"/>
          <w:color w:val="201F1E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OA</m:t>
            </m:r>
          </m:sub>
        </m:sSub>
      </m:oMath>
      <w:r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= 76</w:t>
      </w:r>
      <w:r w:rsidR="00D36649"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,</w:t>
      </w:r>
      <w:r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042</w:t>
      </w:r>
      <w:r w:rsidR="00D36649" w:rsidRP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days.</w:t>
      </w:r>
      <w:r w:rsid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MEY</m:t>
            </m:r>
          </m:sub>
        </m:sSub>
      </m:oMath>
      <w:r w:rsidR="0084307A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, which gives maximum profits,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MSY</m:t>
            </m:r>
          </m:sub>
        </m:sSub>
      </m:oMath>
      <w:r w:rsidR="000549C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  <w:r w:rsid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compare to an actual effort of almost </w:t>
      </w:r>
      <w:r w:rsidR="0084307A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89,590</w:t>
      </w:r>
      <w:r w:rsid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in 2019. </w:t>
      </w:r>
      <w:r w:rsidR="0084307A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Actual effort</w:t>
      </w:r>
      <w:r w:rsid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is</w:t>
      </w:r>
      <w:r w:rsidR="0084307A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even</w:t>
      </w:r>
      <w:r w:rsid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larger than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OA</m:t>
            </m:r>
          </m:sub>
        </m:sSub>
      </m:oMath>
      <w:r w:rsidR="0084307A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,</w:t>
      </w:r>
      <w:r w:rsidR="00D36649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This clearly illustrates the need for a reduction in effort.</w:t>
      </w:r>
    </w:p>
    <w:p w14:paraId="10ACD106" w14:textId="480F1ABB" w:rsidR="00F960BD" w:rsidRDefault="00D36649" w:rsidP="00F960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5E23F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  <w:t xml:space="preserve">For 2019,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</w:t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 is </w:t>
      </w:r>
      <w:r w:rsidR="009E0D3A" w:rsidRPr="0020754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see</w:t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n</w:t>
      </w:r>
      <w:r w:rsidR="009E0D3A" w:rsidRPr="0020754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that the difference between revenues</w:t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</w:t>
      </w:r>
      <w:r w:rsidR="009D698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dot</w:t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red)</w:t>
      </w:r>
      <w:r w:rsidR="009E0D3A" w:rsidRPr="0020754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costs</w:t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</w:t>
      </w:r>
      <w:r w:rsidR="009D698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dot</w:t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blue)</w:t>
      </w:r>
      <w:r w:rsidR="009E0D3A" w:rsidRPr="0020754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just over</w:t>
      </w:r>
      <w:r w:rsidR="009E0D3A" w:rsidRPr="0020754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5.2 million</w:t>
      </w:r>
      <w:r w:rsidR="009E0D3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8430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Actual stock level in 2019 is estimated at 4,</w:t>
      </w:r>
      <w:r w:rsidR="0097538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378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tonnes. This is, however, a disequilibrium situation. </w:t>
      </w:r>
      <w:r w:rsidR="008430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Inspection of figure 1 will, however, show that in equilibrium, there will be substantial losses at this effort level </w:t>
      </w:r>
      <w:r w:rsidR="009E0D3A" w:rsidRPr="0082784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(vertical dotted line)</w:t>
      </w:r>
      <w:r w:rsidR="008430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</w:t>
      </w:r>
      <w:r w:rsidR="008430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430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lastRenderedPageBreak/>
        <w:t>equilibrium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8430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harvest is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3,751 tonnes, stock size 1,635 tonnes and there is a negative profit of € 60 million. A situation like this can only be supported by substantial subsidies.</w:t>
      </w:r>
    </w:p>
    <w:p w14:paraId="5FCFED0C" w14:textId="46C5C33F" w:rsidR="009E0D3A" w:rsidRDefault="009E0D3A" w:rsidP="00770C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4E27A903" w14:textId="7BBC8140" w:rsidR="009E0D3A" w:rsidRPr="00245C95" w:rsidRDefault="00E92B11" w:rsidP="009E0D3A">
      <w:pPr>
        <w:autoSpaceDE w:val="0"/>
        <w:autoSpaceDN w:val="0"/>
        <w:adjustRightInd w:val="0"/>
        <w:spacing w:after="0" w:line="360" w:lineRule="auto"/>
        <w:jc w:val="both"/>
        <w:rPr>
          <w:rStyle w:val="MathematicaFormatStandardForm"/>
          <w:noProof/>
          <w:lang w:val="en-US"/>
        </w:rPr>
      </w:pPr>
      <w:r>
        <w:rPr>
          <w:noProof/>
        </w:rPr>
        <w:drawing>
          <wp:inline distT="0" distB="0" distL="0" distR="0" wp14:anchorId="09B77222" wp14:editId="5DA23BD2">
            <wp:extent cx="4858966" cy="31718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088" cy="317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BBA8B" w14:textId="64932342" w:rsidR="009E0D3A" w:rsidRDefault="009E0D3A" w:rsidP="009E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nb-NO"/>
        </w:rPr>
      </w:pPr>
    </w:p>
    <w:p w14:paraId="25805A43" w14:textId="561F1A16" w:rsidR="009E0D3A" w:rsidRPr="00267DB5" w:rsidRDefault="009E0D3A" w:rsidP="009E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US"/>
        </w:rPr>
      </w:pPr>
      <w:r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Figure 1: Total costs (blue curve) and revenues (</w:t>
      </w:r>
      <w:r w:rsidR="008858A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red </w:t>
      </w:r>
      <w:r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curve) as a function of total effort in the single species Gordon-Schaefer model of the NW Mediterranean demersal fishery. The blue and </w:t>
      </w:r>
      <w:r w:rsidR="008858A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red</w:t>
      </w:r>
      <w:r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 colo</w:t>
      </w:r>
      <w:r w:rsidR="00741CD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u</w:t>
      </w:r>
      <w:r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red </w:t>
      </w:r>
      <w:r w:rsidR="001D0B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dots</w:t>
      </w:r>
      <w:r w:rsidR="001D0B52"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 </w:t>
      </w:r>
      <w:r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are respectively </w:t>
      </w:r>
      <w:r w:rsidR="00B039D1"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revenues </w:t>
      </w:r>
      <w:r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and </w:t>
      </w:r>
      <w:r w:rsidR="00B039D1"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costs </w:t>
      </w:r>
      <w:r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 in 2019. The </w:t>
      </w:r>
      <w:r w:rsidR="008858A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black dots </w:t>
      </w:r>
      <w:r w:rsidRPr="00267D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 are observed revenues at observed effort levels from 2008 to 2018.</w:t>
      </w:r>
    </w:p>
    <w:p w14:paraId="4813882B" w14:textId="77777777" w:rsidR="009E0D3A" w:rsidRDefault="009E0D3A" w:rsidP="009E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4F180737" w14:textId="673AA81E" w:rsidR="00FE6B13" w:rsidRPr="009B7DD7" w:rsidRDefault="009E0D3A" w:rsidP="008D6C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various </w:t>
      </w:r>
      <w:r w:rsidR="00D3664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alternative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s, in terms of number of vessels, total effort, harvest, stock size and profit are illustrated in table 2. 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Scenario 1 is the 2019 situation but as noted, this is a disequilibrium. </w:t>
      </w:r>
      <w:r w:rsidR="00FE6B1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For 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2019 </w:t>
      </w:r>
      <w:r w:rsidR="00FE6B1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harvest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of 10,640 tonnes</w:t>
      </w:r>
      <w:r w:rsidR="00FE6B1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to be</w:t>
      </w:r>
      <w:r w:rsid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 steady state, </w:t>
      </w:r>
      <w:r w:rsidR="00FE6B1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per vessel 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</w:t>
      </w:r>
      <w:r w:rsidR="00FE6B1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ould</w:t>
      </w:r>
      <w:r w:rsidR="00F960BD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have to be reduced from 155 to</w:t>
      </w:r>
      <w:r w:rsidR="00FE6B13">
        <w:rPr>
          <w:rStyle w:val="Fotnotereferanse"/>
          <w:rFonts w:ascii="Times New Roman" w:eastAsia="Times New Roman" w:hAnsi="Times New Roman" w:cs="Times New Roman"/>
          <w:sz w:val="24"/>
          <w:szCs w:val="24"/>
          <w:lang w:val="en-US" w:eastAsia="nb-NO"/>
        </w:rPr>
        <w:footnoteReference w:id="4"/>
      </w:r>
      <w:r w:rsidR="00FE6B1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=116.6</m:t>
        </m:r>
      </m:oMath>
      <w:r w:rsidR="008D6CA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 other words,</w:t>
      </w:r>
      <w:r w:rsidR="00EB3AD8" w:rsidRP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redu</w:t>
      </w:r>
      <w:r w:rsid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</w:t>
      </w:r>
      <w:r w:rsidR="00EB3AD8" w:rsidRP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ing </w:t>
      </w:r>
      <w:r w:rsid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with </w:t>
      </w:r>
      <w:r w:rsidR="00EB3AD8" w:rsidRP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25%</w:t>
      </w:r>
      <w:r w:rsidR="00BB1F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D6CA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(scenario 2) </w:t>
      </w:r>
      <w:r w:rsidR="00EB3AD8" w:rsidRP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would be sufficient to obtain the same landings </w:t>
      </w:r>
      <w:r w:rsidR="003F368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and </w:t>
      </w:r>
      <w:r w:rsidR="009B7DD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but with a </w:t>
      </w:r>
      <w:r w:rsidR="003F368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profit</w:t>
      </w:r>
      <w:r w:rsidR="00EB3AD8" w:rsidRP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9B7DD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of 28.8 million € which is </w:t>
      </w:r>
      <w:r w:rsidR="008C1D7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more than </w:t>
      </w:r>
      <w:r w:rsidR="009B7DD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five times larger than</w:t>
      </w:r>
      <w:r w:rsidR="003F368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EB3AD8" w:rsidRP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at</w:t>
      </w:r>
      <w:r w:rsidR="003F368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</w:t>
      </w:r>
      <w:r w:rsidR="00EB3AD8" w:rsidRP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present</w:t>
      </w:r>
      <w:r w:rsidR="009B7DD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because of less use of costly effort</w:t>
      </w:r>
      <w:r w:rsidR="00EB3AD8" w:rsidRP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9B7DD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Equilibrium</w:t>
      </w:r>
      <w:r w:rsidR="008D6CA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stock size in this case is 6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8D6CA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160 tonnes.</w:t>
      </w:r>
    </w:p>
    <w:p w14:paraId="20E8B034" w14:textId="5CDCE51D" w:rsidR="003F368F" w:rsidRDefault="00F960BD" w:rsidP="00EB3A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Scenario </w:t>
      </w:r>
      <w:r w:rsidR="008B093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represents </w:t>
      </w:r>
      <w:r w:rsid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current </w:t>
      </w:r>
      <w:r w:rsidR="00A8276C" w:rsidRPr="00A8276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effort reduction plan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A8276C" w:rsidRPr="00A8276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to reduce </w:t>
      </w:r>
      <w:r w:rsidR="00EB3AD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current</w:t>
      </w:r>
      <w:r w:rsidR="00A8276C" w:rsidRPr="00A8276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effort by 40%</w:t>
      </w:r>
      <w:r w:rsid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FF09C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Once equilibrium is reached, this would involve a more than doubling of the stock size to 8,941 tonnes, an annual harvest of 12,310 tonnes and annual profits of € 59.2 million.</w:t>
      </w:r>
    </w:p>
    <w:p w14:paraId="030FBE6F" w14:textId="2A19D88A" w:rsidR="007E1434" w:rsidRDefault="00C24AED" w:rsidP="001B26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</w:t>
      </w:r>
      <w:r w:rsidR="003013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he other </w:t>
      </w:r>
      <w:r w:rsidR="0047737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scenarioes</w:t>
      </w:r>
      <w:r w:rsidR="00477377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</w:t>
      </w:r>
      <w:r w:rsidR="008B093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-</w:t>
      </w:r>
      <w:r w:rsidR="008B093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) </w:t>
      </w:r>
      <w:r w:rsidR="003013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of </w:t>
      </w:r>
      <w:r w:rsid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</w:t>
      </w:r>
      <w:r w:rsidR="001E5C6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able </w:t>
      </w:r>
      <w:r w:rsidR="001E5C6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2</w:t>
      </w:r>
      <w:r w:rsidR="001E5C6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shows </w:t>
      </w:r>
      <w:r w:rsidR="001E5C6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outcome </w:t>
      </w:r>
      <w:r w:rsidR="008C1D7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with free fishing but when a limited </w:t>
      </w:r>
      <w:r w:rsidR="002B4C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number of </w:t>
      </w:r>
      <w:r w:rsidR="0047737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firms </w:t>
      </w:r>
      <w:r w:rsidR="003042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are allowed to participate in</w:t>
      </w:r>
      <w:r w:rsidR="0047737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fishery</w:t>
      </w:r>
      <w:r w:rsidR="00B76DC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27388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Scenario </w:t>
      </w:r>
      <w:r w:rsidR="007F7E9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4</w:t>
      </w:r>
      <w:r w:rsidR="0027388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</w:t>
      </w:r>
      <w:r w:rsidR="007F7E9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5</w:t>
      </w:r>
      <w:r w:rsidR="0027388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describes </w:t>
      </w:r>
      <w:r w:rsidR="0027388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lastRenderedPageBreak/>
        <w:t xml:space="preserve">the outcome </w:t>
      </w:r>
      <w:r w:rsidR="002110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with a fixed price when </w:t>
      </w:r>
      <w:r w:rsidR="00273881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all fishing rights are held by one firm</w:t>
      </w:r>
      <w:r w:rsidR="002110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respectively in the case when the firm </w:t>
      </w:r>
      <w:r w:rsidR="003042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has</w:t>
      </w:r>
      <w:r w:rsidR="002110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MEY and MSY 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</w:t>
      </w:r>
      <w:r w:rsidR="002110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bjectives.</w:t>
      </w:r>
      <w:r w:rsidR="004A5F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2110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ME</w:t>
      </w:r>
      <w:r w:rsidR="004E5BD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Y</w:t>
      </w:r>
      <w:r w:rsidR="00CD06B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 the </w:t>
      </w:r>
      <w:r w:rsidR="002110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social planner</w:t>
      </w:r>
      <w:r w:rsidR="00F15F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’s preferred solution.</w:t>
      </w:r>
      <w:r w:rsidR="002110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Scenario </w:t>
      </w:r>
      <w:r w:rsidR="007F7E9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6</w:t>
      </w:r>
      <w:r w:rsidR="002110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shows the outcome in the duopoly case, </w:t>
      </w:r>
      <w:r w:rsidR="004A5F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i.e.</w:t>
      </w:r>
      <w:r w:rsidR="0047737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E5C6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when</w:t>
      </w:r>
      <w:r w:rsidR="001E5C6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F15F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fishery is open and two independent firms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i=1, 2 </m:t>
        </m:r>
      </m:oMath>
      <w:r w:rsidR="00F15F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are given the fishing rights</w:t>
      </w:r>
      <w:r w:rsidR="003042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BD4F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oligopoly scenario</w:t>
      </w:r>
      <w:r w:rsidR="00AD34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7F7E9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7</w:t>
      </w:r>
      <w:r w:rsidR="00BD4F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2E6D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and </w:t>
      </w:r>
      <w:r w:rsidR="007F7E9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8</w:t>
      </w:r>
      <w:r w:rsidR="002E6D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have</w:t>
      </w:r>
      <w:r w:rsidR="00BD4F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2E6D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respectively </w:t>
      </w:r>
      <w:r w:rsidR="00BD4F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n=10 </w:t>
      </w:r>
      <w:r w:rsidR="00AD34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(arbitrary chosen) </w:t>
      </w:r>
      <w:r w:rsidR="00BD4F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and n=578 </w:t>
      </w:r>
      <w:r w:rsidR="00B3004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</w:t>
      </w:r>
      <w:r w:rsidR="002E6D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vessels in 2019</w:t>
      </w:r>
      <w:r w:rsidR="00B3004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)</w:t>
      </w:r>
      <w:r w:rsidR="00BD4F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number of fishing rights</w:t>
      </w:r>
      <w:r w:rsidR="002E6D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 use</w:t>
      </w:r>
      <w:r w:rsidR="00BD4F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3042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 these scenarios (</w:t>
      </w:r>
      <w:r w:rsidR="007F7E9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6</w:t>
      </w:r>
      <w:r w:rsidR="003042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-</w:t>
      </w:r>
      <w:r w:rsidR="007F7E9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8</w:t>
      </w:r>
      <w:r w:rsidR="0030424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)</w:t>
      </w:r>
      <w:r w:rsidR="00F15F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fishing </w:t>
      </w:r>
      <w:r w:rsidR="008C1D7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firms do include </w:t>
      </w:r>
      <w:r w:rsidR="00736EA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own </w:t>
      </w:r>
      <w:r w:rsidR="008C1D7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effort costs in their calculations. F</w:t>
      </w:r>
      <w:r w:rsidR="00F15F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irm</w:t>
      </w:r>
      <w:r w:rsidR="00F15F4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i</m:t>
        </m:r>
      </m:oMath>
      <w:r w:rsidR="00F15F46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BD4F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chooses effort </w:t>
      </w:r>
      <w:r w:rsidR="007F7E9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determined by </w:t>
      </w:r>
      <w:r w:rsidR="001B26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equation </w:t>
      </w:r>
      <w:r w:rsidR="00BD4F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(12) which is the effort that </w:t>
      </w:r>
      <w:r w:rsidR="001E5C6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maximise</w:t>
      </w:r>
      <w:r w:rsid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1E5C6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its </w:t>
      </w:r>
      <w:r w:rsidR="00D42CD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equilibrium </w:t>
      </w:r>
      <w:r w:rsidR="001E5C6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profit given the sum of effort for all other </w:t>
      </w:r>
      <w:r w:rsidR="004A5F2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firm</w:t>
      </w:r>
      <w:r w:rsidR="004A5F28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9C731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AD34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Scenario </w:t>
      </w:r>
      <w:r w:rsidR="007F7E9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9</w:t>
      </w:r>
      <w:r w:rsidR="00AD340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B26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shows the </w:t>
      </w:r>
      <w:r w:rsidR="00736EA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full competition or </w:t>
      </w:r>
      <w:r w:rsidR="001B26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open access case (corresponding to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n→∞</m:t>
        </m:r>
      </m:oMath>
      <w:r w:rsidR="001B26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)</w:t>
      </w:r>
      <w:r w:rsidR="00736EA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1B26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736EA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</w:t>
      </w:r>
      <w:r w:rsidR="001B26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ere total effort is given by equation (13). In general, w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 see</w:t>
      </w:r>
      <w:r w:rsidR="007B50B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f</w:t>
      </w:r>
      <w:r w:rsidR="009C731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or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n≥2</m:t>
        </m:r>
      </m:oMath>
      <w:r w:rsidR="007B50B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1E5C6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that </w:t>
      </w:r>
      <w:r w:rsidR="009C731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solution</w:t>
      </w:r>
      <w:r w:rsidR="001B267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</w:t>
      </w:r>
      <w:r w:rsidR="009C731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E5C64" w:rsidRPr="00AD43A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will not be efficient.</w:t>
      </w:r>
      <w:r w:rsidR="00BD7E2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</w:p>
    <w:p w14:paraId="34C6EB86" w14:textId="77777777" w:rsidR="00EE74EC" w:rsidRDefault="00EE74EC" w:rsidP="003D7424">
      <w:pPr>
        <w:pStyle w:val="Fotnotetek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6870507B" w14:textId="6EE449F7" w:rsidR="00124ECE" w:rsidRPr="009E0D3A" w:rsidRDefault="003D7424" w:rsidP="003D7424">
      <w:pPr>
        <w:pStyle w:val="Fotnotetek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</w:pPr>
      <w:r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Table </w:t>
      </w:r>
      <w:r w:rsidR="005570AA"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2</w:t>
      </w:r>
      <w:r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: </w:t>
      </w:r>
      <w:r w:rsidR="00B029BA"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Outcomes for the NW Mediterranean demersal fishery by the otter bottom trawler fleet in GSA06 when each of </w:t>
      </w:r>
      <m:oMath>
        <m:r>
          <w:rPr>
            <w:rFonts w:ascii="Cambria Math" w:eastAsia="Times New Roman" w:hAnsi="Cambria Math" w:cs="Times New Roman"/>
            <w:sz w:val="24"/>
            <w:szCs w:val="24"/>
            <w:u w:val="single"/>
            <w:lang w:val="en-US" w:eastAsia="nb-NO"/>
          </w:rPr>
          <m:t>n</m:t>
        </m:r>
      </m:oMath>
      <w:r w:rsidR="00B029BA"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 vessels maximise its profit given the sum of effort for all other fishers.</w:t>
      </w:r>
      <w:r w:rsidR="00EE74EC"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 In alle these cases </w:t>
      </w:r>
      <w:r w:rsidR="00124ECE"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we calculate with</w:t>
      </w:r>
      <w:r w:rsidR="00EE74EC"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 total costs per unit effort</w:t>
      </w:r>
      <w:r w:rsidR="00124ECE"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 = 1066</w:t>
      </w:r>
      <w:r w:rsidR="00BC0E4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.</w:t>
      </w:r>
      <w:r w:rsidR="00124ECE" w:rsidRPr="009E0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7 €/day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6"/>
        <w:gridCol w:w="2370"/>
        <w:gridCol w:w="1443"/>
        <w:gridCol w:w="1201"/>
        <w:gridCol w:w="1317"/>
        <w:gridCol w:w="1126"/>
        <w:gridCol w:w="1149"/>
      </w:tblGrid>
      <w:tr w:rsidR="00304247" w:rsidRPr="00AD43A9" w14:paraId="2E8A22D3" w14:textId="54FA5FAD" w:rsidTr="001E0D75">
        <w:tc>
          <w:tcPr>
            <w:tcW w:w="456" w:type="dxa"/>
            <w:tcBorders>
              <w:right w:val="nil"/>
            </w:tcBorders>
          </w:tcPr>
          <w:p w14:paraId="5B410BA1" w14:textId="370DD06B" w:rsidR="00F52E7C" w:rsidRDefault="00F52E7C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</w:p>
        </w:tc>
        <w:tc>
          <w:tcPr>
            <w:tcW w:w="2370" w:type="dxa"/>
            <w:tcBorders>
              <w:left w:val="nil"/>
            </w:tcBorders>
          </w:tcPr>
          <w:p w14:paraId="022F9758" w14:textId="001C5A50" w:rsidR="00F52E7C" w:rsidRPr="00AD43A9" w:rsidRDefault="002C1667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Scenario</w:t>
            </w:r>
          </w:p>
        </w:tc>
        <w:tc>
          <w:tcPr>
            <w:tcW w:w="1443" w:type="dxa"/>
          </w:tcPr>
          <w:p w14:paraId="53EAA135" w14:textId="61A4D760" w:rsidR="00F52E7C" w:rsidRPr="00AD43A9" w:rsidRDefault="00DD2C19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N</w:t>
            </w:r>
            <w:r w:rsidR="00FF0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umber of </w:t>
            </w:r>
            <w:r w:rsidR="003042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fish rights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, </w:t>
            </w:r>
            <w:r w:rsidRPr="00DD2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nb-NO"/>
              </w:rPr>
              <w:t>n</w:t>
            </w:r>
          </w:p>
        </w:tc>
        <w:tc>
          <w:tcPr>
            <w:tcW w:w="1201" w:type="dxa"/>
          </w:tcPr>
          <w:p w14:paraId="7F4E1608" w14:textId="77777777" w:rsidR="002C1667" w:rsidRDefault="00F52E7C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AD4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</w:t>
            </w:r>
            <w:r w:rsidRPr="00AD4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effort</w:t>
            </w:r>
          </w:p>
          <w:p w14:paraId="76CDCAF4" w14:textId="7145E304" w:rsidR="00F52E7C" w:rsidRPr="00AD43A9" w:rsidRDefault="002C1667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days</w:t>
            </w:r>
            <w:r w:rsidR="00F52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</w:t>
            </w:r>
          </w:p>
        </w:tc>
        <w:tc>
          <w:tcPr>
            <w:tcW w:w="1317" w:type="dxa"/>
          </w:tcPr>
          <w:p w14:paraId="2B70071B" w14:textId="5CE507B2" w:rsidR="00F52E7C" w:rsidRDefault="00F52E7C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AD4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harvest</w:t>
            </w:r>
          </w:p>
          <w:p w14:paraId="4FEFF77D" w14:textId="05E26172" w:rsidR="00F52E7C" w:rsidRPr="00AD43A9" w:rsidRDefault="002C1667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tonnes</w:t>
            </w:r>
          </w:p>
        </w:tc>
        <w:tc>
          <w:tcPr>
            <w:tcW w:w="1126" w:type="dxa"/>
          </w:tcPr>
          <w:p w14:paraId="2B568D58" w14:textId="135EBB24" w:rsidR="00F52E7C" w:rsidRDefault="00F52E7C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Stock size</w:t>
            </w:r>
          </w:p>
          <w:p w14:paraId="43F66920" w14:textId="18325319" w:rsidR="00F52E7C" w:rsidRPr="00AD43A9" w:rsidRDefault="002C1667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tonnes</w:t>
            </w:r>
          </w:p>
        </w:tc>
        <w:tc>
          <w:tcPr>
            <w:tcW w:w="1149" w:type="dxa"/>
          </w:tcPr>
          <w:p w14:paraId="30D0CAD4" w14:textId="77777777" w:rsidR="002C1667" w:rsidRDefault="00F52E7C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AD4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profit</w:t>
            </w:r>
          </w:p>
          <w:p w14:paraId="2435487D" w14:textId="5501EC19" w:rsidR="00F52E7C" w:rsidRPr="00AD43A9" w:rsidRDefault="00F52E7C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mill €</w:t>
            </w:r>
          </w:p>
        </w:tc>
      </w:tr>
      <w:tr w:rsidR="00304247" w:rsidRPr="00AD43A9" w14:paraId="344F0BDD" w14:textId="77777777" w:rsidTr="002E6D0B">
        <w:tc>
          <w:tcPr>
            <w:tcW w:w="456" w:type="dxa"/>
          </w:tcPr>
          <w:p w14:paraId="581677AF" w14:textId="23F2730D" w:rsidR="00F52E7C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</w:t>
            </w:r>
          </w:p>
        </w:tc>
        <w:tc>
          <w:tcPr>
            <w:tcW w:w="2370" w:type="dxa"/>
          </w:tcPr>
          <w:p w14:paraId="50152BA5" w14:textId="21A39BD1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Reali</w:t>
            </w:r>
            <w:r w:rsidR="006948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ed (2019)</w:t>
            </w:r>
          </w:p>
        </w:tc>
        <w:tc>
          <w:tcPr>
            <w:tcW w:w="1443" w:type="dxa"/>
          </w:tcPr>
          <w:p w14:paraId="4664C965" w14:textId="3B51A1FD" w:rsidR="00F52E7C" w:rsidRPr="00595EE3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578</w:t>
            </w:r>
          </w:p>
        </w:tc>
        <w:tc>
          <w:tcPr>
            <w:tcW w:w="1201" w:type="dxa"/>
          </w:tcPr>
          <w:p w14:paraId="57383F24" w14:textId="21230B6A" w:rsidR="00F52E7C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595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89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59</w:t>
            </w:r>
            <w:r w:rsidRPr="00595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0</w:t>
            </w:r>
          </w:p>
        </w:tc>
        <w:tc>
          <w:tcPr>
            <w:tcW w:w="1317" w:type="dxa"/>
          </w:tcPr>
          <w:p w14:paraId="23DB3EFE" w14:textId="2FCC8E47" w:rsidR="00F52E7C" w:rsidRDefault="00536370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</w:t>
            </w:r>
            <w:r w:rsidR="00BB75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0,640</w:t>
            </w:r>
          </w:p>
        </w:tc>
        <w:tc>
          <w:tcPr>
            <w:tcW w:w="1126" w:type="dxa"/>
          </w:tcPr>
          <w:p w14:paraId="2D0C53DE" w14:textId="54922C24" w:rsidR="00F52E7C" w:rsidRPr="004E1558" w:rsidRDefault="0097538C" w:rsidP="00F56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</w:t>
            </w:r>
            <w:r w:rsidR="00536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1,635</w:t>
            </w:r>
          </w:p>
        </w:tc>
        <w:tc>
          <w:tcPr>
            <w:tcW w:w="1149" w:type="dxa"/>
          </w:tcPr>
          <w:p w14:paraId="4CFA2AF6" w14:textId="61ACCDFB" w:rsidR="00F52E7C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842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</w:t>
            </w:r>
            <w:r w:rsidR="00A91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.</w:t>
            </w:r>
            <w:r w:rsidRPr="00842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2</w:t>
            </w:r>
            <w:r w:rsidR="00A91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0</w:t>
            </w:r>
            <w:r w:rsidRPr="00842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</w:t>
            </w:r>
          </w:p>
        </w:tc>
      </w:tr>
      <w:tr w:rsidR="008D6CA2" w:rsidRPr="00AD43A9" w14:paraId="371FFDCE" w14:textId="77777777" w:rsidTr="002E6D0B">
        <w:tc>
          <w:tcPr>
            <w:tcW w:w="456" w:type="dxa"/>
          </w:tcPr>
          <w:p w14:paraId="43750E7E" w14:textId="2BB0595D" w:rsidR="008D6CA2" w:rsidRDefault="008D6CA2" w:rsidP="008D6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2</w:t>
            </w:r>
          </w:p>
        </w:tc>
        <w:tc>
          <w:tcPr>
            <w:tcW w:w="2370" w:type="dxa"/>
          </w:tcPr>
          <w:p w14:paraId="7CB9D7AE" w14:textId="07A87572" w:rsidR="008D6CA2" w:rsidRDefault="008D6CA2" w:rsidP="008D6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25% effort reduction</w:t>
            </w:r>
          </w:p>
        </w:tc>
        <w:tc>
          <w:tcPr>
            <w:tcW w:w="1443" w:type="dxa"/>
          </w:tcPr>
          <w:p w14:paraId="00941B3C" w14:textId="4ECA8C62" w:rsidR="008D6CA2" w:rsidRDefault="008D6CA2" w:rsidP="008D6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≤578</w:t>
            </w:r>
          </w:p>
        </w:tc>
        <w:tc>
          <w:tcPr>
            <w:tcW w:w="1201" w:type="dxa"/>
          </w:tcPr>
          <w:p w14:paraId="4CE58B5D" w14:textId="16E12029" w:rsidR="008D6CA2" w:rsidRPr="00072F91" w:rsidRDefault="008D6CA2" w:rsidP="008D6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67,395</w:t>
            </w:r>
          </w:p>
        </w:tc>
        <w:tc>
          <w:tcPr>
            <w:tcW w:w="1317" w:type="dxa"/>
          </w:tcPr>
          <w:p w14:paraId="1D203BF7" w14:textId="3E9F7C4E" w:rsidR="008D6CA2" w:rsidRPr="00072F91" w:rsidRDefault="008D6CA2" w:rsidP="008D6CA2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10.633</w:t>
            </w:r>
          </w:p>
        </w:tc>
        <w:tc>
          <w:tcPr>
            <w:tcW w:w="1126" w:type="dxa"/>
          </w:tcPr>
          <w:p w14:paraId="78A9351D" w14:textId="7804ED23" w:rsidR="008D6CA2" w:rsidRPr="00072F91" w:rsidRDefault="008D6CA2" w:rsidP="008D6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6,160</w:t>
            </w:r>
          </w:p>
        </w:tc>
        <w:tc>
          <w:tcPr>
            <w:tcW w:w="1149" w:type="dxa"/>
          </w:tcPr>
          <w:p w14:paraId="0E679731" w14:textId="456C7D8C" w:rsidR="008D6CA2" w:rsidRPr="00072F91" w:rsidRDefault="008D6CA2" w:rsidP="008D6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28.8 </w:t>
            </w:r>
          </w:p>
        </w:tc>
      </w:tr>
      <w:tr w:rsidR="00304247" w:rsidRPr="00AD43A9" w14:paraId="1C2DEDB4" w14:textId="77777777" w:rsidTr="002E6D0B">
        <w:tc>
          <w:tcPr>
            <w:tcW w:w="456" w:type="dxa"/>
          </w:tcPr>
          <w:p w14:paraId="4CAD950B" w14:textId="587DB7EA" w:rsidR="00F52E7C" w:rsidRDefault="008D6CA2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3</w:t>
            </w:r>
          </w:p>
        </w:tc>
        <w:tc>
          <w:tcPr>
            <w:tcW w:w="2370" w:type="dxa"/>
          </w:tcPr>
          <w:p w14:paraId="6F5DDEA5" w14:textId="5E6494D5" w:rsidR="00F52E7C" w:rsidRDefault="00F52E7C" w:rsidP="005D4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40% effort reduction</w:t>
            </w:r>
          </w:p>
        </w:tc>
        <w:tc>
          <w:tcPr>
            <w:tcW w:w="1443" w:type="dxa"/>
          </w:tcPr>
          <w:p w14:paraId="3FDE9438" w14:textId="76AAEB85" w:rsidR="00F52E7C" w:rsidRPr="00072F91" w:rsidRDefault="00B76DCB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≤</w:t>
            </w:r>
            <w:r w:rsidR="005D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578</w:t>
            </w:r>
          </w:p>
        </w:tc>
        <w:tc>
          <w:tcPr>
            <w:tcW w:w="1201" w:type="dxa"/>
          </w:tcPr>
          <w:p w14:paraId="7F336469" w14:textId="5451F9E1" w:rsidR="00F52E7C" w:rsidRPr="00595EE3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072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53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072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754</w:t>
            </w:r>
          </w:p>
        </w:tc>
        <w:tc>
          <w:tcPr>
            <w:tcW w:w="1317" w:type="dxa"/>
          </w:tcPr>
          <w:p w14:paraId="71A015BD" w14:textId="61282587" w:rsidR="00F52E7C" w:rsidRPr="00012DA9" w:rsidRDefault="00F52E7C" w:rsidP="00012DA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072F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12</w:t>
            </w:r>
            <w:r w:rsidR="00FF09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</w:t>
            </w:r>
            <w:r w:rsidRPr="00072F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1126" w:type="dxa"/>
          </w:tcPr>
          <w:p w14:paraId="256EEEC5" w14:textId="367C3BC2" w:rsidR="00F52E7C" w:rsidRPr="004E1558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072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8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072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</w:t>
            </w:r>
          </w:p>
        </w:tc>
        <w:tc>
          <w:tcPr>
            <w:tcW w:w="1149" w:type="dxa"/>
          </w:tcPr>
          <w:p w14:paraId="2BCABFD4" w14:textId="620FE296" w:rsidR="00F52E7C" w:rsidRPr="00842952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072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59</w:t>
            </w:r>
            <w:r w:rsidR="00A91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.</w:t>
            </w:r>
            <w:r w:rsidRPr="00072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</w:t>
            </w:r>
          </w:p>
        </w:tc>
      </w:tr>
      <w:tr w:rsidR="00304247" w:rsidRPr="00AD43A9" w14:paraId="1AF01556" w14:textId="2B2AB8AE" w:rsidTr="002E6D0B">
        <w:tc>
          <w:tcPr>
            <w:tcW w:w="456" w:type="dxa"/>
          </w:tcPr>
          <w:p w14:paraId="1CAD0262" w14:textId="75E127CF" w:rsidR="00F52E7C" w:rsidRPr="00AD43A9" w:rsidRDefault="008D6CA2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4</w:t>
            </w:r>
          </w:p>
        </w:tc>
        <w:tc>
          <w:tcPr>
            <w:tcW w:w="2370" w:type="dxa"/>
          </w:tcPr>
          <w:p w14:paraId="0466D02C" w14:textId="2A7CF5DF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MEY</w:t>
            </w:r>
          </w:p>
        </w:tc>
        <w:tc>
          <w:tcPr>
            <w:tcW w:w="1443" w:type="dxa"/>
          </w:tcPr>
          <w:p w14:paraId="7AB87CC4" w14:textId="45C04ADE" w:rsidR="00F52E7C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</w:t>
            </w:r>
          </w:p>
        </w:tc>
        <w:tc>
          <w:tcPr>
            <w:tcW w:w="1201" w:type="dxa"/>
          </w:tcPr>
          <w:p w14:paraId="774CE174" w14:textId="13AFA4CD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38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021</w:t>
            </w:r>
          </w:p>
        </w:tc>
        <w:tc>
          <w:tcPr>
            <w:tcW w:w="1317" w:type="dxa"/>
          </w:tcPr>
          <w:p w14:paraId="5B720531" w14:textId="5C3493F8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11</w:t>
            </w:r>
            <w:r w:rsidR="00FF0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830</w:t>
            </w:r>
          </w:p>
        </w:tc>
        <w:tc>
          <w:tcPr>
            <w:tcW w:w="1126" w:type="dxa"/>
          </w:tcPr>
          <w:p w14:paraId="403E11ED" w14:textId="570D535F" w:rsidR="00F52E7C" w:rsidRPr="00402373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4E1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12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4E1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148</w:t>
            </w:r>
          </w:p>
        </w:tc>
        <w:tc>
          <w:tcPr>
            <w:tcW w:w="1149" w:type="dxa"/>
          </w:tcPr>
          <w:p w14:paraId="20FBB9D0" w14:textId="4B959CA3" w:rsidR="00F52E7C" w:rsidRPr="004B6CD4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71</w:t>
            </w:r>
            <w:r w:rsidR="00A91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</w:t>
            </w:r>
          </w:p>
        </w:tc>
      </w:tr>
      <w:tr w:rsidR="00304247" w:rsidRPr="00AD43A9" w14:paraId="52E38CA3" w14:textId="77777777" w:rsidTr="002E6D0B">
        <w:tc>
          <w:tcPr>
            <w:tcW w:w="456" w:type="dxa"/>
          </w:tcPr>
          <w:p w14:paraId="41C31167" w14:textId="63E08BC9" w:rsidR="00F52E7C" w:rsidRPr="00AD43A9" w:rsidRDefault="008D6CA2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</w:t>
            </w:r>
          </w:p>
        </w:tc>
        <w:tc>
          <w:tcPr>
            <w:tcW w:w="2370" w:type="dxa"/>
          </w:tcPr>
          <w:p w14:paraId="36D85D41" w14:textId="16F13C30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MSY</w:t>
            </w:r>
          </w:p>
        </w:tc>
        <w:tc>
          <w:tcPr>
            <w:tcW w:w="1443" w:type="dxa"/>
          </w:tcPr>
          <w:p w14:paraId="5387E2FB" w14:textId="57AF0C62" w:rsidR="00F52E7C" w:rsidRPr="00150420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</w:t>
            </w:r>
          </w:p>
        </w:tc>
        <w:tc>
          <w:tcPr>
            <w:tcW w:w="1201" w:type="dxa"/>
          </w:tcPr>
          <w:p w14:paraId="257E5690" w14:textId="25ED179D" w:rsidR="00F52E7C" w:rsidRPr="00B82F3D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150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48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150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4</w:t>
            </w:r>
          </w:p>
        </w:tc>
        <w:tc>
          <w:tcPr>
            <w:tcW w:w="1317" w:type="dxa"/>
          </w:tcPr>
          <w:p w14:paraId="7ACBA4E1" w14:textId="681D6875" w:rsidR="00F52E7C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12</w:t>
            </w:r>
            <w:r w:rsidR="00FF0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438</w:t>
            </w:r>
          </w:p>
        </w:tc>
        <w:tc>
          <w:tcPr>
            <w:tcW w:w="1126" w:type="dxa"/>
          </w:tcPr>
          <w:p w14:paraId="71815262" w14:textId="354451CF" w:rsidR="00F52E7C" w:rsidRPr="00285A92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9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950</w:t>
            </w:r>
          </w:p>
        </w:tc>
        <w:tc>
          <w:tcPr>
            <w:tcW w:w="1149" w:type="dxa"/>
          </w:tcPr>
          <w:p w14:paraId="0942632E" w14:textId="1CD44C34" w:rsidR="00F52E7C" w:rsidRPr="009C3C06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65</w:t>
            </w:r>
            <w:r w:rsidR="00A91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7</w:t>
            </w:r>
            <w:r w:rsidR="00A91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</w:t>
            </w:r>
          </w:p>
        </w:tc>
      </w:tr>
      <w:tr w:rsidR="00304247" w:rsidRPr="00AD43A9" w14:paraId="584FF7DC" w14:textId="741428CA" w:rsidTr="002E6D0B">
        <w:tc>
          <w:tcPr>
            <w:tcW w:w="456" w:type="dxa"/>
          </w:tcPr>
          <w:p w14:paraId="7B531A5F" w14:textId="44E17DED" w:rsidR="00F52E7C" w:rsidRPr="00AD43A9" w:rsidRDefault="008D6CA2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6</w:t>
            </w:r>
          </w:p>
        </w:tc>
        <w:tc>
          <w:tcPr>
            <w:tcW w:w="2370" w:type="dxa"/>
          </w:tcPr>
          <w:p w14:paraId="076F522C" w14:textId="4093E151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AD4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Duopol</w:t>
            </w:r>
            <w:r w:rsidR="00CD06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y</w:t>
            </w:r>
            <w:r w:rsidR="008C1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</w:t>
            </w:r>
          </w:p>
        </w:tc>
        <w:tc>
          <w:tcPr>
            <w:tcW w:w="1443" w:type="dxa"/>
          </w:tcPr>
          <w:p w14:paraId="7E7511E9" w14:textId="717ADF4B" w:rsidR="00F52E7C" w:rsidRPr="00B82F3D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2</w:t>
            </w:r>
          </w:p>
        </w:tc>
        <w:tc>
          <w:tcPr>
            <w:tcW w:w="1201" w:type="dxa"/>
          </w:tcPr>
          <w:p w14:paraId="54B011DD" w14:textId="255AC2BA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50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</w:t>
            </w:r>
          </w:p>
        </w:tc>
        <w:tc>
          <w:tcPr>
            <w:tcW w:w="1317" w:type="dxa"/>
          </w:tcPr>
          <w:p w14:paraId="01AA27C0" w14:textId="4B3D48C3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12</w:t>
            </w:r>
            <w:r w:rsidR="00FF0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419</w:t>
            </w:r>
          </w:p>
        </w:tc>
        <w:tc>
          <w:tcPr>
            <w:tcW w:w="1126" w:type="dxa"/>
          </w:tcPr>
          <w:p w14:paraId="77C3A9C4" w14:textId="19033410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285A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9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285A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564</w:t>
            </w:r>
          </w:p>
        </w:tc>
        <w:tc>
          <w:tcPr>
            <w:tcW w:w="1149" w:type="dxa"/>
          </w:tcPr>
          <w:p w14:paraId="446DD17B" w14:textId="50E1B184" w:rsidR="00F52E7C" w:rsidRPr="004B6CD4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nb-NO"/>
              </w:rPr>
            </w:pPr>
            <w:r w:rsidRPr="009C3C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63</w:t>
            </w:r>
            <w:r w:rsidR="00A91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6</w:t>
            </w:r>
          </w:p>
        </w:tc>
      </w:tr>
      <w:tr w:rsidR="00304247" w:rsidRPr="00AD43A9" w14:paraId="62B2D5A8" w14:textId="440A3E84" w:rsidTr="002E6D0B">
        <w:tc>
          <w:tcPr>
            <w:tcW w:w="456" w:type="dxa"/>
          </w:tcPr>
          <w:p w14:paraId="10F9902A" w14:textId="7A241F85" w:rsidR="00F52E7C" w:rsidRPr="00AD43A9" w:rsidRDefault="008D6CA2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7</w:t>
            </w:r>
          </w:p>
        </w:tc>
        <w:tc>
          <w:tcPr>
            <w:tcW w:w="2370" w:type="dxa"/>
          </w:tcPr>
          <w:p w14:paraId="0EE49BD3" w14:textId="02B76CE8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AD4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Oligopoly</w:t>
            </w:r>
          </w:p>
        </w:tc>
        <w:tc>
          <w:tcPr>
            <w:tcW w:w="1443" w:type="dxa"/>
          </w:tcPr>
          <w:p w14:paraId="7DDA1C3C" w14:textId="3C783490" w:rsidR="00F52E7C" w:rsidRPr="00A21F90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10</w:t>
            </w:r>
          </w:p>
        </w:tc>
        <w:tc>
          <w:tcPr>
            <w:tcW w:w="1201" w:type="dxa"/>
          </w:tcPr>
          <w:p w14:paraId="733AAC84" w14:textId="6A3243AA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A21F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69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A21F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129</w:t>
            </w:r>
          </w:p>
        </w:tc>
        <w:tc>
          <w:tcPr>
            <w:tcW w:w="1317" w:type="dxa"/>
          </w:tcPr>
          <w:p w14:paraId="2CF92D01" w14:textId="091D4F23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A21F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10</w:t>
            </w:r>
            <w:r w:rsidR="00FF0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A21F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280</w:t>
            </w:r>
          </w:p>
        </w:tc>
        <w:tc>
          <w:tcPr>
            <w:tcW w:w="1126" w:type="dxa"/>
          </w:tcPr>
          <w:p w14:paraId="6E404C50" w14:textId="2AF116B1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4E1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</w:t>
            </w:r>
            <w:r w:rsidR="002C1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4E1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806</w:t>
            </w:r>
          </w:p>
        </w:tc>
        <w:tc>
          <w:tcPr>
            <w:tcW w:w="1149" w:type="dxa"/>
          </w:tcPr>
          <w:p w14:paraId="580D17D5" w14:textId="3944470A" w:rsidR="00F52E7C" w:rsidRPr="00AD43A9" w:rsidRDefault="00F52E7C" w:rsidP="0001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2</w:t>
            </w:r>
            <w:r w:rsidRPr="009C3C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3</w:t>
            </w:r>
            <w:r w:rsidR="00A91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6 </w:t>
            </w:r>
          </w:p>
        </w:tc>
      </w:tr>
      <w:tr w:rsidR="00AD340B" w:rsidRPr="00AD43A9" w14:paraId="0DFD3DF4" w14:textId="77777777" w:rsidTr="002E6D0B">
        <w:tc>
          <w:tcPr>
            <w:tcW w:w="456" w:type="dxa"/>
          </w:tcPr>
          <w:p w14:paraId="73ABCE74" w14:textId="0CBBA0DB" w:rsidR="00AD340B" w:rsidRDefault="008D6CA2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8</w:t>
            </w:r>
          </w:p>
        </w:tc>
        <w:tc>
          <w:tcPr>
            <w:tcW w:w="2370" w:type="dxa"/>
          </w:tcPr>
          <w:p w14:paraId="211C3AF8" w14:textId="284459D4" w:rsidR="00AD340B" w:rsidRPr="00645859" w:rsidRDefault="00E66372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Fleet size (</w:t>
            </w:r>
            <w:r w:rsidR="006458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)</w:t>
            </w:r>
          </w:p>
        </w:tc>
        <w:tc>
          <w:tcPr>
            <w:tcW w:w="1443" w:type="dxa"/>
          </w:tcPr>
          <w:p w14:paraId="530EF543" w14:textId="2B4DF402" w:rsidR="00AD340B" w:rsidRPr="0076173E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578</w:t>
            </w:r>
          </w:p>
        </w:tc>
        <w:tc>
          <w:tcPr>
            <w:tcW w:w="1201" w:type="dxa"/>
          </w:tcPr>
          <w:p w14:paraId="7FE3FBE1" w14:textId="6896CBFD" w:rsidR="00AD340B" w:rsidRPr="0076173E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761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761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1</w:t>
            </w:r>
          </w:p>
        </w:tc>
        <w:tc>
          <w:tcPr>
            <w:tcW w:w="1317" w:type="dxa"/>
          </w:tcPr>
          <w:p w14:paraId="6842E032" w14:textId="7C1C8BE3" w:rsidR="00AD340B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8,600</w:t>
            </w:r>
          </w:p>
        </w:tc>
        <w:tc>
          <w:tcPr>
            <w:tcW w:w="1126" w:type="dxa"/>
          </w:tcPr>
          <w:p w14:paraId="689FC8EF" w14:textId="6E2F81A4" w:rsidR="00AD340B" w:rsidRPr="0076173E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4,423</w:t>
            </w:r>
          </w:p>
        </w:tc>
        <w:tc>
          <w:tcPr>
            <w:tcW w:w="1149" w:type="dxa"/>
          </w:tcPr>
          <w:p w14:paraId="54EC72CE" w14:textId="2F8D6C49" w:rsidR="00AD340B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4.9</w:t>
            </w:r>
          </w:p>
        </w:tc>
      </w:tr>
      <w:tr w:rsidR="00AD340B" w:rsidRPr="00AD43A9" w14:paraId="350AD5A5" w14:textId="095823F8" w:rsidTr="002E6D0B">
        <w:tc>
          <w:tcPr>
            <w:tcW w:w="456" w:type="dxa"/>
          </w:tcPr>
          <w:p w14:paraId="482A5B44" w14:textId="219DB23E" w:rsidR="00AD340B" w:rsidRPr="00AD43A9" w:rsidRDefault="008D6CA2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9</w:t>
            </w:r>
          </w:p>
        </w:tc>
        <w:tc>
          <w:tcPr>
            <w:tcW w:w="2370" w:type="dxa"/>
          </w:tcPr>
          <w:p w14:paraId="01BB767C" w14:textId="7052577A" w:rsidR="00AD340B" w:rsidRPr="00AD43A9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AD4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Full competition</w:t>
            </w:r>
          </w:p>
        </w:tc>
        <w:tc>
          <w:tcPr>
            <w:tcW w:w="1443" w:type="dxa"/>
          </w:tcPr>
          <w:p w14:paraId="702019F4" w14:textId="0FF24468" w:rsidR="00AD340B" w:rsidRPr="00F56DB9" w:rsidRDefault="001B2672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→∞</m:t>
                </m:r>
              </m:oMath>
            </m:oMathPara>
          </w:p>
        </w:tc>
        <w:tc>
          <w:tcPr>
            <w:tcW w:w="1201" w:type="dxa"/>
          </w:tcPr>
          <w:p w14:paraId="0FBD2E78" w14:textId="0CD032C9" w:rsidR="00AD340B" w:rsidRPr="00AD43A9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761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761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042</w:t>
            </w:r>
          </w:p>
        </w:tc>
        <w:tc>
          <w:tcPr>
            <w:tcW w:w="1317" w:type="dxa"/>
          </w:tcPr>
          <w:p w14:paraId="67AC66A5" w14:textId="6212E47D" w:rsidR="00AD340B" w:rsidRPr="00AD43A9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 </w:t>
            </w:r>
            <w:r w:rsidRPr="00761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761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563</w:t>
            </w:r>
          </w:p>
        </w:tc>
        <w:tc>
          <w:tcPr>
            <w:tcW w:w="1126" w:type="dxa"/>
          </w:tcPr>
          <w:p w14:paraId="5BEAA97F" w14:textId="7E0045B6" w:rsidR="00AD340B" w:rsidRPr="00AD43A9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761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,</w:t>
            </w:r>
            <w:r w:rsidRPr="00761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396</w:t>
            </w:r>
          </w:p>
        </w:tc>
        <w:tc>
          <w:tcPr>
            <w:tcW w:w="1149" w:type="dxa"/>
          </w:tcPr>
          <w:p w14:paraId="15688F8D" w14:textId="108306C5" w:rsidR="00AD340B" w:rsidRPr="00AD43A9" w:rsidRDefault="00AD340B" w:rsidP="00AD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0</w:t>
            </w:r>
          </w:p>
        </w:tc>
      </w:tr>
    </w:tbl>
    <w:p w14:paraId="7866CB5D" w14:textId="77777777" w:rsidR="002C1667" w:rsidRDefault="002C1667" w:rsidP="00BC0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7914E035" w14:textId="39B659ED" w:rsidR="002B48A0" w:rsidRDefault="0082739F" w:rsidP="00FC087A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ab/>
      </w:r>
      <w:r w:rsidR="00972556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</w:t>
      </w:r>
      <w:r w:rsidR="0094128A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 we pursue in this article, instead of setting effort quotas for </w:t>
      </w:r>
      <w:r w:rsidR="009414EC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each </w:t>
      </w:r>
      <w:r w:rsidR="0094128A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vessel</w:t>
      </w:r>
      <w:r w:rsidR="009414EC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equal</w:t>
      </w:r>
      <w:r w:rsidR="0094128A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to </w:t>
      </w:r>
      <w:r w:rsidR="009414EC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 specific number of days</w:t>
      </w:r>
      <w:r w:rsidR="0094128A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an a</w:t>
      </w:r>
      <w:r w:rsidR="00972556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lternative</w:t>
      </w:r>
      <w:r w:rsidR="009414EC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to achieve</w:t>
      </w:r>
      <w:r w:rsidR="00972556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optimal total effort can</w:t>
      </w:r>
      <w:r w:rsidR="009414EC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be</w:t>
      </w:r>
      <w:r w:rsidR="00972556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by regulati</w:t>
      </w:r>
      <w:r w:rsidR="009414EC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ng</w:t>
      </w:r>
      <w:r w:rsidR="00972556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4471B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individual revenues, equation (15)</w:t>
      </w:r>
      <w:r w:rsidR="00972556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393138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Using equation (17)</w:t>
      </w:r>
      <w:r w:rsidR="0014471B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parameter values of </w:t>
      </w:r>
      <w:r w:rsid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</w:t>
      </w:r>
      <w:r w:rsidR="0014471B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able 1,</w:t>
      </w:r>
      <w:r w:rsidR="00393138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we find that</w:t>
      </w:r>
      <w:r w:rsidR="009414EC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A7288A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regulat</w:t>
      </w:r>
      <w:r w:rsidR="009414EC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ion </w:t>
      </w:r>
      <w:r w:rsidR="001B32DF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with</w:t>
      </w:r>
      <w:r w:rsidR="009A13D9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2C56E2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equilibrium </w:t>
      </w:r>
      <w:r w:rsidR="001B32DF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as a goal</w:t>
      </w:r>
      <w:r w:rsidR="00393138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vessel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i</m:t>
        </m:r>
      </m:oMath>
      <w:r w:rsidR="00393138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’s</w:t>
      </w:r>
      <w:r w:rsidR="00A7288A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effort </w:t>
      </w:r>
      <w:r w:rsidR="0080422B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 equilibrium </w:t>
      </w:r>
      <w:r w:rsidR="00A7288A" w:rsidRPr="00BC0E4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becomes</w:t>
      </w:r>
      <w:r w:rsidR="007E269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 share of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7E269F" w:rsidRPr="007E269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chosen by the </w:t>
      </w:r>
      <w:r w:rsidR="00DD2C1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sole owner</w:t>
      </w:r>
      <w:r w:rsidR="007E269F" w:rsidRPr="007E269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firm</w:t>
      </w:r>
      <w:r w:rsidR="00E8017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(and the planner)</w:t>
      </w:r>
    </w:p>
    <w:p w14:paraId="5201FC33" w14:textId="52C810DE" w:rsidR="00460FDB" w:rsidRDefault="00365091" w:rsidP="008273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nb-NO"/>
                </w:rPr>
              </m:ctrlPr>
            </m:eqAr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nb-N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 xml:space="preserve">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nb-NO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so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nb-NO"/>
                </w:rPr>
                <m:t xml:space="preserve"> 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nb-N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nb-NO"/>
                    </w:rPr>
                    <m:t>19</m:t>
                  </m:r>
                </m:e>
              </m:d>
            </m:e>
          </m:eqArr>
        </m:oMath>
      </m:oMathPara>
    </w:p>
    <w:p w14:paraId="11215915" w14:textId="406B224E" w:rsidR="009A25E6" w:rsidRDefault="00770C6E" w:rsidP="008273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</w:t>
      </w:r>
      <w:r w:rsidR="009645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here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so</m:t>
            </m:r>
          </m:sub>
        </m:sSub>
      </m:oMath>
      <w:r w:rsidR="009645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 the total effort equilibrium goal, e.g. at MEY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38021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</m:oMath>
      <w:r w:rsidR="009645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 </w:t>
      </w:r>
      <w:r w:rsidR="0014471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effort share </w:t>
      </w:r>
      <w:r w:rsidR="009645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set by the regulator</w:t>
      </w:r>
      <w:r w:rsidR="0070256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9645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39313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Since</w:t>
      </w:r>
      <w:r w:rsidR="009645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n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=s</m:t>
        </m:r>
      </m:oMath>
      <w:r w:rsidR="009645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w:r w:rsidR="00393138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we find</w:t>
      </w:r>
      <w:r w:rsidR="00A7288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that the </w:t>
      </w:r>
      <w:r w:rsidR="002A3E5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wan</w:t>
      </w:r>
      <w:r w:rsidR="00515F7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ted</w:t>
      </w:r>
      <w:r w:rsidR="00A7288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outcome </w:t>
      </w:r>
      <w:r w:rsidR="0014471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is achieved</w:t>
      </w:r>
      <w:r w:rsidR="00A7288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when </w:t>
      </w:r>
      <w:r w:rsidR="009645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s=1</w:t>
      </w:r>
      <w:r w:rsidR="0070256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14471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</w:t>
      </w:r>
      <w:r w:rsidR="0070256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with </w:t>
      </w:r>
      <w:r w:rsidR="00856FAC" w:rsidRPr="00856F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>n</w:t>
      </w:r>
      <w:r w:rsidR="00856FA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702565" w:rsidRPr="00856FA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equal</w:t>
      </w:r>
      <w:r w:rsidR="0070256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vessels</w:t>
      </w:r>
      <w:r w:rsidR="00371B1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70256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=1/n </m:t>
        </m:r>
      </m:oMath>
      <w:r w:rsidR="0064585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for all </w:t>
      </w:r>
      <w:r w:rsidR="00645859" w:rsidRPr="00645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b-NO"/>
        </w:rPr>
        <w:t>i</w:t>
      </w:r>
      <w:r w:rsidR="0064585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)</w:t>
      </w:r>
      <w:r w:rsidR="0070256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BD653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</w:t>
      </w:r>
      <w:r w:rsidR="00433E1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igure 2 </w:t>
      </w:r>
      <w:r w:rsidR="00BD653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shows </w:t>
      </w:r>
      <w:r w:rsidR="00433E1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profit </w:t>
      </w:r>
      <w:r w:rsidR="00BD653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as a function of effort for a vessel in this case</w:t>
      </w:r>
      <w:r w:rsidR="00371B1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(red curve)</w:t>
      </w:r>
      <w:r w:rsidR="00BD653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433E1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BD653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 optimum </w:t>
      </w:r>
      <w:r w:rsidR="00371B1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</w:t>
      </w:r>
      <w:r w:rsidR="00221B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ndividual </w:t>
      </w:r>
      <w:r w:rsidR="00371B1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is 65.8 days (=38021/578 days) and </w:t>
      </w:r>
      <w:r w:rsidR="00221B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vessel profit</w:t>
      </w:r>
      <w:r w:rsidR="0013489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(18)</w:t>
      </w:r>
      <w:r w:rsidR="00221B7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is 0.124 mill €.</w:t>
      </w:r>
    </w:p>
    <w:p w14:paraId="6729E859" w14:textId="6155ABAC" w:rsidR="00484746" w:rsidRDefault="003059E6" w:rsidP="00375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="009361D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0632B8" w:rsidRPr="001B32DF">
        <w:rPr>
          <w:rFonts w:ascii="Times New Roman" w:hAnsi="Times New Roman" w:cs="Times New Roman"/>
          <w:sz w:val="24"/>
          <w:szCs w:val="24"/>
          <w:lang w:val="en-US"/>
        </w:rPr>
        <w:t xml:space="preserve"> interpretation 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632B8" w:rsidRPr="001B32D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9361D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as a share of total effort </w:t>
      </w:r>
      <w:r w:rsidR="000632B8" w:rsidRPr="001B32DF">
        <w:rPr>
          <w:rFonts w:ascii="Times New Roman" w:hAnsi="Times New Roman" w:cs="Times New Roman"/>
          <w:sz w:val="24"/>
          <w:szCs w:val="24"/>
          <w:lang w:val="en-US"/>
        </w:rPr>
        <w:t xml:space="preserve">might </w:t>
      </w:r>
      <w:r w:rsidR="00B540FB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632B8" w:rsidRPr="001B32D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540FB">
        <w:rPr>
          <w:rFonts w:ascii="Times New Roman" w:hAnsi="Times New Roman" w:cs="Times New Roman"/>
          <w:sz w:val="24"/>
          <w:szCs w:val="24"/>
          <w:lang w:val="en-US"/>
        </w:rPr>
        <w:t>necessary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4847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 scenario 5</w:t>
      </w:r>
      <w:r w:rsidR="00533E7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for the fishing industry to choose to attain </w:t>
      </w:r>
      <w:r w:rsidR="004847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 MSY</w:t>
      </w:r>
      <w:r w:rsidR="00533E7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target</w:t>
      </w:r>
      <w:r w:rsidR="008C5B6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48474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23052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 value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n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=s&gt;1</m:t>
        </m:r>
      </m:oMath>
      <w:r w:rsidR="0023052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might be requested. </w:t>
      </w:r>
      <w:r w:rsidR="00533E7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 this case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533E7C">
        <w:rPr>
          <w:rFonts w:ascii="Times New Roman" w:eastAsia="Times New Roman" w:hAnsi="Times New Roman" w:cs="Times New Roman"/>
          <w:sz w:val="24"/>
          <w:szCs w:val="24"/>
          <w:lang w:val="en-US"/>
        </w:rPr>
        <w:t>’s</w:t>
      </w:r>
      <w:r w:rsidR="00533E7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can not be interpreted as shares because their sum becomes larger than one, in this case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n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=s=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48804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38021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=1.2836</m:t>
        </m:r>
      </m:oMath>
      <w:r w:rsidR="00533E7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23052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</w:t>
      </w:r>
      <w:r w:rsidR="007323B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blue</w:t>
      </w:r>
      <w:r w:rsidR="0023052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curve in Figure 2 shows a vessel’s profit in </w:t>
      </w:r>
      <w:r w:rsidR="007323B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this MSY </w:t>
      </w:r>
      <w:r w:rsidR="0023052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scenario</w:t>
      </w:r>
      <w:r w:rsidR="007323B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DF42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For vessels to choose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DF4CE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48804/578</w:t>
      </w:r>
      <w:r w:rsidR="005E752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= </w:t>
      </w:r>
      <w:r w:rsidR="005E752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84.44 </w:t>
      </w:r>
      <w:r w:rsidR="00DF42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days effort 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level</w:t>
      </w:r>
      <w:r w:rsidR="005E752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5E752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with an individual profit </w:t>
      </w:r>
      <w:r w:rsidR="0003195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(18)</w:t>
      </w:r>
      <w:r w:rsidR="00DF4CE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of</w:t>
      </w:r>
      <w:r w:rsidR="0003195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=0.1588</m:t>
        </m:r>
      </m:oMath>
      <w:r w:rsidR="005E752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mill €, 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 extra amount of subsides are required. This subsidy can be </w:t>
      </w:r>
      <w:r w:rsidR="003757D9" w:rsidRPr="001F357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regained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DF42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for example 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with</w:t>
      </w:r>
      <w:r w:rsidR="00DF42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654DC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levying </w:t>
      </w:r>
      <w:r w:rsidR="00DF42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DF42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profit 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tax </w:t>
      </w:r>
      <w:r w:rsidR="00654DC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making the net profit </w:t>
      </w:r>
      <w:r w:rsidR="00DF42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inverse </w:t>
      </w:r>
      <w:r w:rsidR="003757D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proportional to</w:t>
      </w:r>
      <w:r w:rsidR="00DF42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 s</m:t>
        </m:r>
      </m:oMath>
      <w:r w:rsidR="0022765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i.e. </w:t>
      </w:r>
      <w:r w:rsidR="00DF423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that</w:t>
      </w:r>
      <w:r w:rsidR="0022765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π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1,2836=</m:t>
            </m:r>
          </m:den>
        </m:f>
      </m:oMath>
      <w:r w:rsidR="0049776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0.124 mill € which is equal to the MEY profit.</w:t>
      </w:r>
    </w:p>
    <w:p w14:paraId="2BB47511" w14:textId="77CED6F1" w:rsidR="009B019B" w:rsidRDefault="00CE1124" w:rsidP="009010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</w:t>
      </w:r>
      <w:r w:rsidR="0009288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 the total effort goal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 equilibrium </w:t>
      </w:r>
      <w:r w:rsidR="0009288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is a 40% reduction of the 2019 effort level (Scenario 3) at 53754</w:t>
      </w:r>
      <w:r w:rsidR="0014401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hat level may be targeted with </w:t>
      </w:r>
      <w:r w:rsidR="005E752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s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value</w:t>
      </w:r>
      <w:r w:rsidR="005E752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equal to </w:t>
      </w:r>
      <m:oMath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53754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38021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=1.4138</m:t>
        </m:r>
      </m:oMath>
      <w:r w:rsidR="009B019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D1047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</w:t>
      </w:r>
      <w:r w:rsidR="009B019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orange</w:t>
      </w:r>
      <w:r w:rsidR="00D1047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curve in Figure 2 shows a vessel’s profit </w:t>
      </w:r>
      <w:r w:rsidR="000674F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in</w:t>
      </w:r>
      <w:r w:rsidR="00173C6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this</w:t>
      </w:r>
      <w:r w:rsidR="000674F5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scenario 3</w:t>
      </w:r>
      <w:r w:rsidR="009B019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 Optimal vessel effort and gross profit is respectively 93</w:t>
      </w:r>
      <w:r w:rsidR="00CD6CF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.0</w:t>
      </w:r>
      <w:r w:rsidR="009B019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days and 0.175 mill €.</w:t>
      </w:r>
    </w:p>
    <w:p w14:paraId="722393A0" w14:textId="714B1D5D" w:rsidR="009B019B" w:rsidRDefault="00A7033A" w:rsidP="009B01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Similarly</w:t>
      </w:r>
      <w:r w:rsidR="0090102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scenario 2,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90102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showing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 25% reduction leads to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n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=s=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67395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38021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=1.773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90102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vessel’s profit curve in this case is colored </w:t>
      </w:r>
      <w:r w:rsidR="009B019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green</w:t>
      </w:r>
      <w:r w:rsidR="0090102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n </w:t>
      </w:r>
      <w:r w:rsidR="0090102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igure 2</w:t>
      </w:r>
      <w:r w:rsidR="0090102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24CCA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To attain that 53754 level an extra amount of subsides are required. </w:t>
      </w:r>
      <w:r w:rsidR="009B019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Optimal vessel effort and gross profit is respectively </w:t>
      </w:r>
      <w:r w:rsidR="00CD6CF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116.6</w:t>
      </w:r>
      <w:r w:rsidR="009B019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days and 0.</w:t>
      </w:r>
      <w:r w:rsidR="00CD6CF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219</w:t>
      </w:r>
      <w:r w:rsidR="009B019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mill €.</w:t>
      </w:r>
    </w:p>
    <w:p w14:paraId="56F20E3E" w14:textId="59E349CC" w:rsidR="00A7033A" w:rsidRDefault="00A7033A" w:rsidP="005B09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3D7AF7AE" w14:textId="6894365B" w:rsidR="00A7033A" w:rsidRDefault="00433E1F" w:rsidP="005B09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Style w:val="MathematicaFormatStandardForm"/>
          <w:noProof/>
        </w:rPr>
        <w:drawing>
          <wp:inline distT="0" distB="0" distL="0" distR="0" wp14:anchorId="460AFC7F" wp14:editId="2B4C497C">
            <wp:extent cx="5760720" cy="371538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3184" w14:textId="3A88EE54" w:rsidR="00092881" w:rsidRDefault="00A7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</w:pPr>
      <w:r w:rsidRPr="00FE4D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lastRenderedPageBreak/>
        <w:t>Figure 2. Profit under regulation in the above scenarios, for each of the n=578 vessels. Scenario 2 (</w:t>
      </w:r>
      <w:r w:rsidR="00FE0D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25% reduction, </w:t>
      </w:r>
      <w:r w:rsidRPr="00FE4D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green), scenario 3 (</w:t>
      </w:r>
      <w:r w:rsidR="00FE0D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40% reduction, </w:t>
      </w:r>
      <w:r w:rsidRPr="00FE4D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orange), scenario 4 (</w:t>
      </w:r>
      <w:r w:rsidR="0023052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MEY, </w:t>
      </w:r>
      <w:r w:rsidR="00C82DCD" w:rsidRPr="00FE4D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red) and scenario 5 (</w:t>
      </w:r>
      <w:r w:rsidR="0023052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 xml:space="preserve">MSY, </w:t>
      </w:r>
      <w:r w:rsidR="00C82DCD" w:rsidRPr="00FE4D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blue).</w:t>
      </w:r>
    </w:p>
    <w:p w14:paraId="7619B422" w14:textId="532076DC" w:rsidR="003059E6" w:rsidRDefault="003059E6" w:rsidP="0030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</w:pPr>
    </w:p>
    <w:p w14:paraId="3F4EC1F3" w14:textId="18854B3D" w:rsidR="003059E6" w:rsidRDefault="003059E6" w:rsidP="003059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1B32D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If vessels are heterogenous, e.g. </w:t>
      </w:r>
      <w:r w:rsidR="0069078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there are two groups with each 578/2=289 vessels where</w:t>
      </w:r>
      <w:r w:rsidRPr="001B32D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costs </w:t>
      </w:r>
      <w:r w:rsidRPr="001B32D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differs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by 10% and is thus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=960 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 one group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=1173 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in </w:t>
      </w:r>
      <w:r w:rsidR="00690784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other group. With </w:t>
      </w:r>
      <w:r w:rsidR="0043332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the MEY target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each group </w:t>
      </w:r>
      <w:r w:rsidR="0043332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appointed </w:t>
      </w:r>
      <w:r w:rsidR="00265A53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similar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effort shares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=0.5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then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 xml:space="preserve"> 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=19550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 xml:space="preserve"> 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=18471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that adds to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 xml:space="preserve"> 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=38021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. </w:t>
      </w:r>
      <w:r w:rsidR="0043332E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With a 40% reduction target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we </w:t>
      </w:r>
      <w:r w:rsidR="0080602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set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=0.707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and</w:t>
      </w:r>
      <w:r w:rsidR="0080602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when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costs </w:t>
      </w:r>
      <w:r w:rsidRPr="001B32DF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differs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by 10% then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 xml:space="preserve"> 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=95.63*289=27639.5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0602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days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nb-NO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 xml:space="preserve"> 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 xml:space="preserve">=90.37*289=26117.5 </m:t>
        </m:r>
      </m:oMath>
      <w:r w:rsidR="0080602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days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that adds to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 xml:space="preserve"> 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 w:eastAsia="nb-NO"/>
          </w:rPr>
          <m:t>=53757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</w:p>
    <w:p w14:paraId="62021BAB" w14:textId="1D898217" w:rsidR="00DF1D2D" w:rsidRDefault="003059E6" w:rsidP="00DF1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063075">
        <w:rPr>
          <w:rFonts w:ascii="Times New Roman" w:hAnsi="Times New Roman" w:cs="Times New Roman"/>
          <w:sz w:val="24"/>
          <w:szCs w:val="24"/>
          <w:lang w:val="en-US"/>
        </w:rPr>
        <w:t xml:space="preserve">latter </w:t>
      </w:r>
      <w:r>
        <w:rPr>
          <w:rFonts w:ascii="Times New Roman" w:hAnsi="Times New Roman" w:cs="Times New Roman"/>
          <w:sz w:val="24"/>
          <w:szCs w:val="24"/>
          <w:lang w:val="en-US"/>
        </w:rPr>
        <w:t>calculations show by example that flexibility of the regulation in</w:t>
      </w:r>
      <w:r w:rsidRPr="001B32DF">
        <w:rPr>
          <w:rFonts w:ascii="Times New Roman" w:hAnsi="Times New Roman" w:cs="Times New Roman"/>
          <w:sz w:val="24"/>
          <w:szCs w:val="24"/>
          <w:lang w:val="en-US"/>
        </w:rPr>
        <w:t xml:space="preserve"> no way restricts the vessel owner from choosing more or less effort than the given share of the </w:t>
      </w:r>
      <w:r>
        <w:rPr>
          <w:rFonts w:ascii="Times New Roman" w:hAnsi="Times New Roman" w:cs="Times New Roman"/>
          <w:sz w:val="24"/>
          <w:szCs w:val="24"/>
          <w:lang w:val="en-US"/>
        </w:rPr>
        <w:t>total allowable effort (TAE).</w:t>
      </w:r>
    </w:p>
    <w:p w14:paraId="27AA4874" w14:textId="77777777" w:rsidR="00DF1D2D" w:rsidRPr="00DF1D2D" w:rsidRDefault="00DF1D2D" w:rsidP="00DF1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</w:pPr>
      <w:r w:rsidRPr="00DF1D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  <w:t>A PANDORA toolbox application.</w:t>
      </w:r>
    </w:p>
    <w:p w14:paraId="1F7CAF2A" w14:textId="47FD1715" w:rsidR="003059E6" w:rsidRPr="004A7D87" w:rsidRDefault="00DF1D2D" w:rsidP="00843B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It might</w:t>
      </w:r>
      <w:r w:rsidRPr="00F2148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be possible to create simulations of Mediterranean fishing with heterogeneous fishing vessels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and construct a one player game.</w:t>
      </w:r>
      <w:r w:rsidRPr="00F2148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843BC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Different c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osts </w:t>
      </w:r>
      <w:r w:rsidR="00843BC9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are assigned to various vessel groups. F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ishers automatically</w:t>
      </w:r>
      <w:r w:rsidRPr="00F2148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maximize their profits, and a fisheries manager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(the player) controls</w:t>
      </w:r>
      <w:r w:rsidRPr="00F2148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total </w:t>
      </w:r>
      <w:r w:rsidRPr="00F2148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effort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nb-NO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nb-NO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nb-N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nb-N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 xml:space="preserve"> 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nb-NO"/>
                      </w:rPr>
                      <m:t>i</m:t>
                    </m:r>
                  </m:sub>
                </m:sSub>
              </m:e>
            </m:d>
          </m:e>
        </m:nary>
      </m:oMath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, </w:t>
      </w:r>
      <w:r w:rsidRPr="00F2148B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by turning on parameters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</w:p>
    <w:p w14:paraId="11EC8C09" w14:textId="3AC4EA52" w:rsidR="008B1F6D" w:rsidRDefault="008B1F6D" w:rsidP="009B4F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3EF03402" w14:textId="5FB9B06F" w:rsidR="00702565" w:rsidRPr="00386BE2" w:rsidRDefault="00386BE2" w:rsidP="009B4F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</w:pPr>
      <w:r w:rsidRPr="00386B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>4. C</w:t>
      </w:r>
      <w:r w:rsidR="00CD06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>ONCLUDING REMARKS</w:t>
      </w:r>
    </w:p>
    <w:p w14:paraId="01FD0E74" w14:textId="1920ECD3" w:rsidR="00386BE2" w:rsidRDefault="00386BE2" w:rsidP="009B4F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 general </w:t>
      </w:r>
      <w:r w:rsidRPr="00CF1D4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effort rights-based management might be more effective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CF1D4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at managing fishing mortality where uncertainty in biomass and TAC estimates 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CF1D4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more </w:t>
      </w:r>
      <w:r w:rsidR="00CB139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fundamental</w:t>
      </w:r>
      <w:r w:rsidR="00E2381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ly </w:t>
      </w:r>
      <w:r w:rsidR="00E23810" w:rsidRPr="00CF1D4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important</w:t>
      </w:r>
      <w:r w:rsidR="00CB139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CF1D4C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than uncertainty in the estimates of the catchability coefficient.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(FAO 2012)</w:t>
      </w:r>
      <w:r w:rsidR="006C19E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  <w:r w:rsidR="006B5EB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 </w:t>
      </w:r>
      <w:r w:rsidR="00CB139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practical </w:t>
      </w:r>
      <w:r w:rsidR="006B5EB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advantage </w:t>
      </w:r>
      <w:r w:rsidR="006C19E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of our proposal </w:t>
      </w:r>
      <w:r w:rsidR="006B5EB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is</w:t>
      </w:r>
      <w:r w:rsidR="00CB139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that</w:t>
      </w:r>
      <w:r w:rsidR="00705D6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the</w:t>
      </w:r>
      <w:r w:rsidR="006B5EB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705D6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build in</w:t>
      </w:r>
      <w:r w:rsidR="006B5EB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flexibility may </w:t>
      </w:r>
      <w:r w:rsidR="00CB139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make it e</w:t>
      </w:r>
      <w:r w:rsidR="006B5EB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asier </w:t>
      </w:r>
      <w:r w:rsidR="00AC382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for the skippers </w:t>
      </w:r>
      <w:r w:rsidR="006C19E6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to comply</w:t>
      </w:r>
      <w:r w:rsidR="00CB139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with the regulation and might</w:t>
      </w:r>
      <w:r w:rsidR="00164921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, among other things, thus</w:t>
      </w:r>
      <w:r w:rsidR="00CB139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="00AC382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increase </w:t>
      </w:r>
      <w:r w:rsidR="0090068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the</w:t>
      </w:r>
      <w:r w:rsidR="00AC382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legitimacy</w:t>
      </w:r>
      <w:r w:rsidR="00900687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of the regulation</w:t>
      </w:r>
      <w:r w:rsidR="00AC3820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>.</w:t>
      </w:r>
    </w:p>
    <w:p w14:paraId="1F2A0AC2" w14:textId="2AEB7F7B" w:rsidR="00F2148B" w:rsidRDefault="00F2148B" w:rsidP="009B4F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2705D2F8" w14:textId="77777777" w:rsidR="00386BE2" w:rsidRPr="00A7288A" w:rsidRDefault="00386BE2" w:rsidP="00DE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14:paraId="5407A5A5" w14:textId="77777777" w:rsidR="00A7288A" w:rsidRDefault="00A7288A" w:rsidP="00DE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nb-NO"/>
        </w:rPr>
      </w:pPr>
    </w:p>
    <w:p w14:paraId="2417A104" w14:textId="0F205D36" w:rsidR="00602CF4" w:rsidRPr="00DE48B8" w:rsidRDefault="00602CF4" w:rsidP="00DE4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b-NO"/>
        </w:rPr>
      </w:pPr>
      <w:r w:rsidRPr="00DE48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b-NO"/>
        </w:rPr>
        <w:t>References</w:t>
      </w:r>
    </w:p>
    <w:p w14:paraId="7F31CEEA" w14:textId="77777777" w:rsidR="00AF446A" w:rsidRDefault="00AF446A" w:rsidP="00FE4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0A6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Akbari, N., Maynou, F., Bjørndal, T., Failler, P., Drakeford, B. &amp; Forse, A. (2021). </w:t>
      </w:r>
      <w:r w:rsidRPr="00AF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Scenarios of </w:t>
      </w:r>
      <w:r w:rsidRPr="00AF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  <w:t xml:space="preserve">profitability of western Mediterranean demersal fisheries in an effort control regime. </w:t>
      </w:r>
      <w:r w:rsidRPr="00AF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  <w:t xml:space="preserve">Journal of Environmental Management, 300. https://doi.org/10.1016/j.jenvman.2021.113794 </w:t>
      </w:r>
    </w:p>
    <w:p w14:paraId="7B82B98F" w14:textId="72F6C007" w:rsidR="00900687" w:rsidRDefault="00A100A8" w:rsidP="00FE4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Berglann, H, 2012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.</w:t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 ”Implementing Optimal Taxes using Tradeable Share Permits”, </w:t>
      </w:r>
      <w:r w:rsidRPr="00FF09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nb-NO"/>
        </w:rPr>
        <w:t xml:space="preserve">Journal of </w:t>
      </w:r>
      <w:r w:rsidRPr="00FF09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nb-NO"/>
        </w:rPr>
        <w:tab/>
        <w:t>Environmental Economics and Management</w:t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, 64, 402–409.</w:t>
      </w:r>
      <w:r w:rsidR="00FE4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 </w:t>
      </w:r>
    </w:p>
    <w:p w14:paraId="2A0E3B13" w14:textId="41B5EE46" w:rsidR="0023000B" w:rsidRPr="00AF236B" w:rsidRDefault="0023000B" w:rsidP="00900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lastRenderedPageBreak/>
        <w:t>Berglann, H,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21.</w:t>
      </w:r>
      <w:r w:rsidR="00900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 </w:t>
      </w:r>
      <w:r w:rsidRPr="00230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Fisheries Management under Uncertainty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 </w:t>
      </w:r>
      <w:r w:rsidRPr="00230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using a Convex Tax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. Resubmitted</w:t>
      </w:r>
      <w:r w:rsidR="00ED1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to </w:t>
      </w:r>
      <w:r w:rsidRPr="00230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Marine</w:t>
      </w:r>
      <w:r w:rsidR="00900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 </w:t>
      </w:r>
      <w:r w:rsidRPr="00230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Resource Economics</w:t>
      </w:r>
    </w:p>
    <w:p w14:paraId="6D65398E" w14:textId="0425BD0E" w:rsidR="00A100A8" w:rsidRPr="00AF236B" w:rsidRDefault="00A100A8" w:rsidP="00A1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Bjørndal, T., and G. Munro. 2012. The Economics and Management of World Fisheries. Oxford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University Press.</w:t>
      </w:r>
    </w:p>
    <w:p w14:paraId="5F5DE110" w14:textId="6D6A0101" w:rsidR="00A100A8" w:rsidRPr="00AF236B" w:rsidRDefault="00A100A8" w:rsidP="00A1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EU 2006. EC (2006). Council Regulation (EC) No 1967/2006 of 21 December 2006 concerning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 management measures for the sustainable exploitation of fishery resources in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Mediterranean Sea, amending Regulation (EEC) No 2847/93 and repealing Regulation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(EC) No 1626/94. OJ L 409, 30.12.2006, p. 11. OJ. No 36 of 8.2.2007. </w:t>
      </w:r>
    </w:p>
    <w:p w14:paraId="2F9012FB" w14:textId="05EB67FA" w:rsidR="00A100A8" w:rsidRPr="00AF236B" w:rsidRDefault="00A100A8" w:rsidP="00A1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EU 2013. Regulation (Eu) No 1380/2013 of the European Parliament and of the Council of 11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December 2013 on the Common Fisheries Policy, amending Council Regulations (EC)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No 1954/2003 and (EC) No 1224/2009 and repealing Council Regulations (EC) 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 2371/2002 and (EC) No 639/2004 and Council Decision 2004/585/EC</w:t>
      </w:r>
    </w:p>
    <w:p w14:paraId="29D9FF4A" w14:textId="33009CA4" w:rsidR="00A100A8" w:rsidRPr="00A100A8" w:rsidRDefault="00A100A8" w:rsidP="00A1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FAO, 2012. Effort rights in fisheries management General principles and case studies from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around the world, FISHERIES AND AQUACULTURE PROCEEDINGS 34</w:t>
      </w:r>
    </w:p>
    <w:p w14:paraId="2B237800" w14:textId="662B6AD4" w:rsidR="00A100A8" w:rsidRPr="00AF236B" w:rsidRDefault="00A100A8" w:rsidP="00A1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Gómez, S., F. Maynou. 2020. Economic, sociocultural and ecological dimensions of fishing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capacity in NW Mediterranean fisheries. </w:t>
      </w:r>
      <w:r w:rsidRPr="00AF236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Ocean and Coastal Management</w:t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197: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105323.  https://doi.org/10.1016/j.ocecoaman.2020.105323</w:t>
      </w:r>
    </w:p>
    <w:p w14:paraId="0ABF61BC" w14:textId="2AAE39F5" w:rsidR="00A100A8" w:rsidRPr="00AF236B" w:rsidRDefault="00A100A8" w:rsidP="00A1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Lleonart J., F. Maynou. 2003. Fish stock assessments in the Mediterranean: state of the art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AF236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Scientia Marina</w:t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67(Suppl. 1): 37-49.</w:t>
      </w:r>
    </w:p>
    <w:p w14:paraId="6B151294" w14:textId="78F237E7" w:rsidR="00A100A8" w:rsidRPr="00AF236B" w:rsidRDefault="00A100A8" w:rsidP="00A1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Loeb M. and Magat W.A., 1979, A decentralized method for utility regulation, Journal of Law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and Economics 22, 399–404.</w:t>
      </w:r>
    </w:p>
    <w:p w14:paraId="2276BB31" w14:textId="7F579931" w:rsidR="00A100A8" w:rsidRPr="00AF236B" w:rsidRDefault="00A100A8" w:rsidP="00A1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Penas Lado, E. 2016. The Common Fisheries Policy: The Quest for Sustainability. Wiley-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Blackwell, Oxford. 394 pp. </w:t>
      </w:r>
    </w:p>
    <w:p w14:paraId="3FF8115B" w14:textId="450F132E" w:rsidR="00A100A8" w:rsidRPr="00AF236B" w:rsidRDefault="00A100A8" w:rsidP="00A1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Prager, M. H., C. P. Goodyear, and G. P. Scott.  1996. Application of a surplus production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model to a swordfish-like simulated stock with time-changing gear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selectivity.  Transactions of the American Fisheries Society 125: 729–740.</w:t>
      </w:r>
    </w:p>
    <w:p w14:paraId="2ABE9FA2" w14:textId="65BB0B44" w:rsidR="00A100A8" w:rsidRPr="00AF236B" w:rsidRDefault="00A100A8" w:rsidP="00A1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Schaefer, M. B. 1957. Some considerations of population dynamics and economics in relation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management of marine fisheries, Journal of Fisheries Research Board of Canada 14,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669- 681.</w:t>
      </w:r>
    </w:p>
    <w:p w14:paraId="6DFEDFF1" w14:textId="0A9DA3AC" w:rsidR="00A100A8" w:rsidRPr="00AF236B" w:rsidRDefault="00A100A8" w:rsidP="00A1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</w:pP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STECF 2020. The 2020 Annual Economic Report on the EU Fishing Fleet (STECF 20-06),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 xml:space="preserve"> EUR 28359 EN, Publications Office of the European Union, Luxembourg, 2020, ISBN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ab/>
      </w:r>
      <w:r w:rsidRPr="00AF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b-NO"/>
        </w:rPr>
        <w:t>978-92-76-27164-2, doi:10.2760/500525, JRC123089</w:t>
      </w:r>
    </w:p>
    <w:p w14:paraId="65E21570" w14:textId="00D92F14" w:rsidR="00A100A8" w:rsidRPr="00AF236B" w:rsidRDefault="00A100A8" w:rsidP="00A1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Vielmini, I,, Perry A.L., Cornax M.J. 2017. </w:t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Untying the Mediterranean Gordian Knot: 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Twenty First Century Challenge for Fisheries Management. Frontiers in Marine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F23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Science, 4:195. doi: 10.3389/fmars.2017.00195</w:t>
      </w:r>
    </w:p>
    <w:p w14:paraId="692B1776" w14:textId="7DDEFD70" w:rsidR="00567FBE" w:rsidRDefault="00567FBE" w:rsidP="00DE48B8">
      <w:pPr>
        <w:spacing w:after="0" w:line="240" w:lineRule="auto"/>
        <w:rPr>
          <w:lang w:val="en-US"/>
        </w:rPr>
      </w:pPr>
    </w:p>
    <w:p w14:paraId="6EADA96C" w14:textId="17497844" w:rsidR="0033421A" w:rsidRDefault="0033421A" w:rsidP="00DE48B8">
      <w:pPr>
        <w:spacing w:after="0" w:line="240" w:lineRule="auto"/>
        <w:rPr>
          <w:lang w:val="en-US"/>
        </w:rPr>
      </w:pPr>
    </w:p>
    <w:p w14:paraId="78978F0F" w14:textId="2988AC4F" w:rsidR="0033421A" w:rsidRPr="00CF4E60" w:rsidRDefault="0033421A" w:rsidP="00DE48B8">
      <w:pPr>
        <w:spacing w:after="0" w:line="240" w:lineRule="auto"/>
        <w:rPr>
          <w:lang w:val="en-US"/>
        </w:rPr>
      </w:pPr>
    </w:p>
    <w:sectPr w:rsidR="0033421A" w:rsidRPr="00CF4E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4C80" w14:textId="77777777" w:rsidR="00365091" w:rsidRDefault="00365091" w:rsidP="00C459B4">
      <w:pPr>
        <w:spacing w:after="0" w:line="240" w:lineRule="auto"/>
      </w:pPr>
      <w:r>
        <w:separator/>
      </w:r>
    </w:p>
  </w:endnote>
  <w:endnote w:type="continuationSeparator" w:id="0">
    <w:p w14:paraId="06CEA947" w14:textId="77777777" w:rsidR="00365091" w:rsidRDefault="00365091" w:rsidP="00C4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67127"/>
      <w:docPartObj>
        <w:docPartGallery w:val="Page Numbers (Bottom of Page)"/>
        <w:docPartUnique/>
      </w:docPartObj>
    </w:sdtPr>
    <w:sdtEndPr/>
    <w:sdtContent>
      <w:p w14:paraId="3AFA8574" w14:textId="28244430" w:rsidR="00D00197" w:rsidRDefault="00D0019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B7B4541" w14:textId="77777777" w:rsidR="00D00197" w:rsidRDefault="00D001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56B4" w14:textId="77777777" w:rsidR="00365091" w:rsidRDefault="00365091" w:rsidP="00C459B4">
      <w:pPr>
        <w:spacing w:after="0" w:line="240" w:lineRule="auto"/>
      </w:pPr>
      <w:r>
        <w:separator/>
      </w:r>
    </w:p>
  </w:footnote>
  <w:footnote w:type="continuationSeparator" w:id="0">
    <w:p w14:paraId="3FBDA761" w14:textId="77777777" w:rsidR="00365091" w:rsidRDefault="00365091" w:rsidP="00C459B4">
      <w:pPr>
        <w:spacing w:after="0" w:line="240" w:lineRule="auto"/>
      </w:pPr>
      <w:r>
        <w:continuationSeparator/>
      </w:r>
    </w:p>
  </w:footnote>
  <w:footnote w:id="1">
    <w:p w14:paraId="2EB77476" w14:textId="3B232B4F" w:rsidR="00D00197" w:rsidRPr="005E23F2" w:rsidRDefault="00D00197" w:rsidP="0040567D">
      <w:pPr>
        <w:pStyle w:val="Fotnotetekst"/>
        <w:jc w:val="both"/>
        <w:rPr>
          <w:rFonts w:ascii="Times New Roman" w:hAnsi="Times New Roman" w:cs="Times New Roman"/>
          <w:lang w:val="en-US"/>
        </w:rPr>
      </w:pPr>
      <w:r w:rsidRPr="0040567D">
        <w:rPr>
          <w:rStyle w:val="Fotnotereferanse"/>
          <w:rFonts w:ascii="Times New Roman" w:hAnsi="Times New Roman" w:cs="Times New Roman"/>
        </w:rPr>
        <w:footnoteRef/>
      </w:r>
      <w:r w:rsidRPr="005E23F2">
        <w:rPr>
          <w:rFonts w:ascii="Times New Roman" w:hAnsi="Times New Roman" w:cs="Times New Roman"/>
          <w:lang w:val="en-US"/>
        </w:rPr>
        <w:t xml:space="preserve"> There are, however, many multispecies fisheries where individual quotas have been found to function very well. One example is given by the British Columbia groundfish fishery (Bjørndal &amp; Munro, 2012).</w:t>
      </w:r>
    </w:p>
  </w:footnote>
  <w:footnote w:id="2">
    <w:p w14:paraId="00F6EF33" w14:textId="68C75F71" w:rsidR="008208A7" w:rsidRPr="008208A7" w:rsidRDefault="008208A7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8208A7">
        <w:rPr>
          <w:lang w:val="en-US"/>
        </w:rPr>
        <w:t xml:space="preserve"> </w:t>
      </w:r>
      <w:r>
        <w:rPr>
          <w:lang w:val="en-US"/>
        </w:rPr>
        <w:t xml:space="preserve">Originally </w:t>
      </w:r>
      <w:r w:rsidRPr="008208A7">
        <w:rPr>
          <w:lang w:val="en-US"/>
        </w:rPr>
        <w:t>proposed</w:t>
      </w:r>
      <w:r>
        <w:rPr>
          <w:lang w:val="en-US"/>
        </w:rPr>
        <w:t xml:space="preserve"> </w:t>
      </w:r>
      <w:r w:rsidRPr="008208A7">
        <w:rPr>
          <w:lang w:val="en-US"/>
        </w:rPr>
        <w:t>by</w:t>
      </w:r>
      <w:r>
        <w:rPr>
          <w:lang w:val="en-US"/>
        </w:rPr>
        <w:t xml:space="preserve"> </w:t>
      </w:r>
      <w:r w:rsidRPr="008208A7">
        <w:rPr>
          <w:lang w:val="en-US"/>
        </w:rPr>
        <w:t>Loeb</w:t>
      </w:r>
      <w:r>
        <w:rPr>
          <w:lang w:val="en-US"/>
        </w:rPr>
        <w:t xml:space="preserve"> </w:t>
      </w:r>
      <w:r w:rsidRPr="008208A7">
        <w:rPr>
          <w:lang w:val="en-US"/>
        </w:rPr>
        <w:t>and</w:t>
      </w:r>
      <w:r>
        <w:rPr>
          <w:lang w:val="en-US"/>
        </w:rPr>
        <w:t xml:space="preserve"> </w:t>
      </w:r>
      <w:r w:rsidRPr="008208A7">
        <w:rPr>
          <w:lang w:val="en-US"/>
        </w:rPr>
        <w:t>Magat</w:t>
      </w:r>
      <w:r>
        <w:rPr>
          <w:lang w:val="en-US"/>
        </w:rPr>
        <w:t xml:space="preserve"> (1979)</w:t>
      </w:r>
      <w:r w:rsidRPr="008208A7">
        <w:rPr>
          <w:lang w:val="en-US"/>
        </w:rPr>
        <w:t xml:space="preserve"> in the</w:t>
      </w:r>
      <w:r>
        <w:rPr>
          <w:lang w:val="en-US"/>
        </w:rPr>
        <w:t xml:space="preserve"> </w:t>
      </w:r>
      <w:r w:rsidRPr="008208A7">
        <w:rPr>
          <w:lang w:val="en-US"/>
        </w:rPr>
        <w:t>context</w:t>
      </w:r>
      <w:r>
        <w:rPr>
          <w:lang w:val="en-US"/>
        </w:rPr>
        <w:t xml:space="preserve"> </w:t>
      </w:r>
      <w:r w:rsidRPr="008208A7">
        <w:rPr>
          <w:lang w:val="en-US"/>
        </w:rPr>
        <w:t>of</w:t>
      </w:r>
      <w:r>
        <w:rPr>
          <w:lang w:val="en-US"/>
        </w:rPr>
        <w:t xml:space="preserve"> </w:t>
      </w:r>
      <w:r w:rsidRPr="008208A7">
        <w:rPr>
          <w:lang w:val="en-US"/>
        </w:rPr>
        <w:t>regulating</w:t>
      </w:r>
      <w:r>
        <w:rPr>
          <w:lang w:val="en-US"/>
        </w:rPr>
        <w:t xml:space="preserve"> </w:t>
      </w:r>
      <w:r w:rsidRPr="008208A7">
        <w:rPr>
          <w:lang w:val="en-US"/>
        </w:rPr>
        <w:t>the</w:t>
      </w:r>
      <w:r>
        <w:rPr>
          <w:lang w:val="en-US"/>
        </w:rPr>
        <w:t xml:space="preserve"> </w:t>
      </w:r>
      <w:r w:rsidRPr="008208A7">
        <w:rPr>
          <w:lang w:val="en-US"/>
        </w:rPr>
        <w:t>output</w:t>
      </w:r>
      <w:r>
        <w:rPr>
          <w:lang w:val="en-US"/>
        </w:rPr>
        <w:t xml:space="preserve"> </w:t>
      </w:r>
      <w:r w:rsidRPr="008208A7">
        <w:rPr>
          <w:lang w:val="en-US"/>
        </w:rPr>
        <w:t>of</w:t>
      </w:r>
      <w:r>
        <w:rPr>
          <w:lang w:val="en-US"/>
        </w:rPr>
        <w:t xml:space="preserve"> </w:t>
      </w:r>
      <w:r w:rsidRPr="008208A7">
        <w:rPr>
          <w:lang w:val="en-US"/>
        </w:rPr>
        <w:t>a</w:t>
      </w:r>
      <w:r>
        <w:rPr>
          <w:lang w:val="en-US"/>
        </w:rPr>
        <w:t xml:space="preserve"> </w:t>
      </w:r>
      <w:r w:rsidRPr="008208A7">
        <w:rPr>
          <w:lang w:val="en-US"/>
        </w:rPr>
        <w:t>monopoly.</w:t>
      </w:r>
    </w:p>
  </w:footnote>
  <w:footnote w:id="3">
    <w:p w14:paraId="059F26B5" w14:textId="0B8CE8F7" w:rsidR="00D00197" w:rsidRPr="00245C95" w:rsidRDefault="00D00197">
      <w:pPr>
        <w:pStyle w:val="Fotnotetekst"/>
        <w:rPr>
          <w:rFonts w:ascii="Times New Roman" w:hAnsi="Times New Roman" w:cs="Times New Roman"/>
          <w:lang w:val="en-US"/>
        </w:rPr>
      </w:pPr>
      <w:r w:rsidRPr="00A6210D">
        <w:rPr>
          <w:rStyle w:val="Fotnotereferanse"/>
          <w:rFonts w:ascii="Times New Roman" w:hAnsi="Times New Roman" w:cs="Times New Roman"/>
        </w:rPr>
        <w:footnoteRef/>
      </w:r>
      <w:r w:rsidRPr="00245C95">
        <w:rPr>
          <w:rFonts w:ascii="Times New Roman" w:hAnsi="Times New Roman" w:cs="Times New Roman"/>
          <w:lang w:val="en-US"/>
        </w:rPr>
        <w:t xml:space="preserve"> For fishing areas, see </w:t>
      </w:r>
      <w:hyperlink w:history="1"/>
      <w:hyperlink r:id="rId1" w:tgtFrame="_blank" w:history="1">
        <w:r w:rsidR="00433E1F" w:rsidRPr="00A6210D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val="en-GB" w:eastAsia="en-GB"/>
          </w:rPr>
          <w:t>http://www.fao.org/gfcm/data/maps/gsas/en/</w:t>
        </w:r>
      </w:hyperlink>
      <w:r w:rsidR="00433E1F" w:rsidRPr="00A6210D"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  <w:lang w:val="en-GB" w:eastAsia="en-GB"/>
        </w:rPr>
        <w:t>.</w:t>
      </w:r>
    </w:p>
  </w:footnote>
  <w:footnote w:id="4">
    <w:p w14:paraId="299AB9A7" w14:textId="2C7663AF" w:rsidR="00D00197" w:rsidRPr="006948C7" w:rsidRDefault="00D00197" w:rsidP="006948C7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val="en-US" w:eastAsia="nb-NO"/>
        </w:rPr>
      </w:pPr>
      <w:r w:rsidRPr="006948C7">
        <w:rPr>
          <w:rStyle w:val="Fotnotereferanse"/>
          <w:rFonts w:ascii="Times New Roman" w:hAnsi="Times New Roman" w:cs="Times New Roman"/>
          <w:sz w:val="20"/>
          <w:szCs w:val="20"/>
        </w:rPr>
        <w:footnoteRef/>
      </w:r>
      <w:r w:rsidRPr="006948C7">
        <w:rPr>
          <w:rFonts w:ascii="Times New Roman" w:hAnsi="Times New Roman" w:cs="Times New Roman"/>
          <w:sz w:val="20"/>
          <w:szCs w:val="20"/>
          <w:lang w:val="en-US"/>
        </w:rPr>
        <w:t xml:space="preserve">Solving </w:t>
      </w:r>
      <m:oMath>
        <m:r>
          <w:rPr>
            <w:rFonts w:ascii="Cambria Math" w:eastAsia="Times New Roman" w:hAnsi="Cambria Math" w:cs="Times New Roman"/>
            <w:sz w:val="20"/>
            <w:szCs w:val="20"/>
            <w:lang w:val="en-US" w:eastAsia="nb-NO"/>
          </w:rPr>
          <m:t>h=q x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nb-NO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 xml:space="preserve">n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nb-NO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nb-NO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nb-NO"/>
                  </w:rPr>
                  <m:t>i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0"/>
            <w:szCs w:val="20"/>
            <w:lang w:val="en-US" w:eastAsia="nb-NO"/>
          </w:rPr>
          <m:t xml:space="preserve">n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i</m:t>
            </m:r>
          </m:sub>
        </m:sSub>
      </m:oMath>
      <w:r w:rsidRPr="006948C7">
        <w:rPr>
          <w:rFonts w:ascii="Times New Roman" w:eastAsiaTheme="minorEastAsia" w:hAnsi="Times New Roman" w:cs="Times New Roman"/>
          <w:sz w:val="20"/>
          <w:szCs w:val="20"/>
          <w:lang w:val="en-US" w:eastAsia="nb-NO"/>
        </w:rPr>
        <w:t xml:space="preserve"> with respect to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 w:eastAsia="nb-NO"/>
          </w:rPr>
          <m:t xml:space="preserve"> </m:t>
        </m:r>
        <m:r>
          <w:rPr>
            <w:rFonts w:ascii="Cambria Math" w:eastAsia="Times New Roman" w:hAnsi="Cambria Math" w:cs="Times New Roman"/>
            <w:sz w:val="20"/>
            <w:szCs w:val="20"/>
            <w:lang w:val="en-US" w:eastAsia="nb-NO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i</m:t>
            </m:r>
          </m:sub>
        </m:sSub>
      </m:oMath>
      <w:r w:rsidRPr="006948C7">
        <w:rPr>
          <w:rFonts w:ascii="Times New Roman" w:eastAsiaTheme="minorEastAsia" w:hAnsi="Times New Roman" w:cs="Times New Roman"/>
          <w:sz w:val="20"/>
          <w:szCs w:val="20"/>
          <w:lang w:val="en-US" w:eastAsia="nb-NO"/>
        </w:rPr>
        <w:t xml:space="preserve"> yields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  <w:lang w:val="en-US" w:eastAsia="nb-N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 w:eastAsia="nb-N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 w:eastAsia="nb-NO"/>
              </w:rPr>
              <m:t>Kr±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 w:eastAsia="nb-N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 w:eastAsia="nb-NO"/>
                  </w:rPr>
                  <m:t>Kr(-4</m:t>
                </m:r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 w:eastAsia="nb-NO"/>
                  </w:rPr>
                  <m:t>h+Kr)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 w:eastAsia="nb-NO"/>
              </w:rPr>
              <m:t>2Knq</m:t>
            </m:r>
          </m:den>
        </m:f>
      </m:oMath>
    </w:p>
    <w:p w14:paraId="2FD0FB35" w14:textId="7AA965D4" w:rsidR="00D00197" w:rsidRPr="006948C7" w:rsidRDefault="00D00197" w:rsidP="006948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 w:eastAsia="nb-NO"/>
        </w:rPr>
      </w:pPr>
      <w:r w:rsidRPr="006948C7">
        <w:rPr>
          <w:rFonts w:ascii="Times New Roman" w:eastAsia="Times New Roman" w:hAnsi="Times New Roman" w:cs="Times New Roman"/>
          <w:sz w:val="20"/>
          <w:szCs w:val="20"/>
          <w:lang w:val="en-US" w:eastAsia="nb-NO"/>
        </w:rPr>
        <w:t xml:space="preserve">with solutions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  <w:lang w:val="en-US" w:eastAsia="nb-NO"/>
          </w:rPr>
          <m:t>=52.3</m:t>
        </m:r>
      </m:oMath>
      <w:r w:rsidRPr="006948C7">
        <w:rPr>
          <w:rFonts w:ascii="Times New Roman" w:eastAsia="Times New Roman" w:hAnsi="Times New Roman" w:cs="Times New Roman"/>
          <w:sz w:val="20"/>
          <w:szCs w:val="20"/>
          <w:lang w:val="en-US" w:eastAsia="nb-NO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nb-NO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nb-NO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  <w:lang w:val="en-US" w:eastAsia="nb-NO"/>
          </w:rPr>
          <m:t>=116.6</m:t>
        </m:r>
      </m:oMath>
      <w:r w:rsidRPr="006948C7">
        <w:rPr>
          <w:rFonts w:ascii="Times New Roman" w:eastAsia="Times New Roman" w:hAnsi="Times New Roman" w:cs="Times New Roman"/>
          <w:sz w:val="20"/>
          <w:szCs w:val="20"/>
          <w:lang w:val="en-US" w:eastAsia="nb-NO"/>
        </w:rPr>
        <w:t>.</w:t>
      </w:r>
    </w:p>
    <w:p w14:paraId="7F41FB4A" w14:textId="77777777" w:rsidR="00D00197" w:rsidRPr="00204DE7" w:rsidRDefault="00D00197" w:rsidP="00FE6B13">
      <w:pPr>
        <w:pStyle w:val="Fotnoteteks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41F2"/>
    <w:multiLevelType w:val="hybridMultilevel"/>
    <w:tmpl w:val="76F4D5D0"/>
    <w:lvl w:ilvl="0" w:tplc="AD46E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E60"/>
    <w:rsid w:val="000002CE"/>
    <w:rsid w:val="00012DA9"/>
    <w:rsid w:val="0001368B"/>
    <w:rsid w:val="00023D61"/>
    <w:rsid w:val="000247D9"/>
    <w:rsid w:val="0002611A"/>
    <w:rsid w:val="00031952"/>
    <w:rsid w:val="000518E9"/>
    <w:rsid w:val="00051A36"/>
    <w:rsid w:val="0005360C"/>
    <w:rsid w:val="000549C0"/>
    <w:rsid w:val="00055337"/>
    <w:rsid w:val="00056260"/>
    <w:rsid w:val="00062F16"/>
    <w:rsid w:val="00063075"/>
    <w:rsid w:val="000632B8"/>
    <w:rsid w:val="000674F5"/>
    <w:rsid w:val="00072F91"/>
    <w:rsid w:val="000756FC"/>
    <w:rsid w:val="000818BE"/>
    <w:rsid w:val="00082B0D"/>
    <w:rsid w:val="0008348B"/>
    <w:rsid w:val="0008616F"/>
    <w:rsid w:val="00092881"/>
    <w:rsid w:val="00093720"/>
    <w:rsid w:val="000A1A80"/>
    <w:rsid w:val="000A28A5"/>
    <w:rsid w:val="000A38C8"/>
    <w:rsid w:val="000A6A4D"/>
    <w:rsid w:val="000B09B6"/>
    <w:rsid w:val="000B4FC1"/>
    <w:rsid w:val="000B6B47"/>
    <w:rsid w:val="000C4752"/>
    <w:rsid w:val="000C6E07"/>
    <w:rsid w:val="000D2188"/>
    <w:rsid w:val="000D21C0"/>
    <w:rsid w:val="000D6C71"/>
    <w:rsid w:val="000E4D2F"/>
    <w:rsid w:val="000F1AE8"/>
    <w:rsid w:val="000F4BC4"/>
    <w:rsid w:val="00103429"/>
    <w:rsid w:val="00103556"/>
    <w:rsid w:val="00106251"/>
    <w:rsid w:val="001135F9"/>
    <w:rsid w:val="00114368"/>
    <w:rsid w:val="00117F46"/>
    <w:rsid w:val="00121B4E"/>
    <w:rsid w:val="00124326"/>
    <w:rsid w:val="00124ECE"/>
    <w:rsid w:val="00126A65"/>
    <w:rsid w:val="00127324"/>
    <w:rsid w:val="00134896"/>
    <w:rsid w:val="0014401F"/>
    <w:rsid w:val="0014471B"/>
    <w:rsid w:val="00145970"/>
    <w:rsid w:val="00146312"/>
    <w:rsid w:val="00150420"/>
    <w:rsid w:val="00152090"/>
    <w:rsid w:val="00154F01"/>
    <w:rsid w:val="001607E4"/>
    <w:rsid w:val="00163196"/>
    <w:rsid w:val="00163739"/>
    <w:rsid w:val="00164921"/>
    <w:rsid w:val="00164CD8"/>
    <w:rsid w:val="00167282"/>
    <w:rsid w:val="00172CCD"/>
    <w:rsid w:val="00173C67"/>
    <w:rsid w:val="00177C6F"/>
    <w:rsid w:val="00180291"/>
    <w:rsid w:val="0018035A"/>
    <w:rsid w:val="001856D1"/>
    <w:rsid w:val="00187C38"/>
    <w:rsid w:val="001B07D6"/>
    <w:rsid w:val="001B2672"/>
    <w:rsid w:val="001B287F"/>
    <w:rsid w:val="001B32DF"/>
    <w:rsid w:val="001B4FCD"/>
    <w:rsid w:val="001B53F2"/>
    <w:rsid w:val="001B540F"/>
    <w:rsid w:val="001C2B8D"/>
    <w:rsid w:val="001C396B"/>
    <w:rsid w:val="001C4E43"/>
    <w:rsid w:val="001C685E"/>
    <w:rsid w:val="001D0023"/>
    <w:rsid w:val="001D0B52"/>
    <w:rsid w:val="001D2B2D"/>
    <w:rsid w:val="001E0D75"/>
    <w:rsid w:val="001E0FEF"/>
    <w:rsid w:val="001E5C64"/>
    <w:rsid w:val="001F2982"/>
    <w:rsid w:val="001F332B"/>
    <w:rsid w:val="001F3571"/>
    <w:rsid w:val="00204DE7"/>
    <w:rsid w:val="00207544"/>
    <w:rsid w:val="00211047"/>
    <w:rsid w:val="00215694"/>
    <w:rsid w:val="0021747B"/>
    <w:rsid w:val="00221B7A"/>
    <w:rsid w:val="00222C4C"/>
    <w:rsid w:val="00227651"/>
    <w:rsid w:val="0023000B"/>
    <w:rsid w:val="00230523"/>
    <w:rsid w:val="00232477"/>
    <w:rsid w:val="00232AEA"/>
    <w:rsid w:val="00235961"/>
    <w:rsid w:val="00236E7D"/>
    <w:rsid w:val="00245C95"/>
    <w:rsid w:val="00250BE2"/>
    <w:rsid w:val="002511FA"/>
    <w:rsid w:val="0025702D"/>
    <w:rsid w:val="002604A7"/>
    <w:rsid w:val="00260851"/>
    <w:rsid w:val="00260955"/>
    <w:rsid w:val="00264ACA"/>
    <w:rsid w:val="00265A53"/>
    <w:rsid w:val="00267DB5"/>
    <w:rsid w:val="00270622"/>
    <w:rsid w:val="00272E41"/>
    <w:rsid w:val="00273881"/>
    <w:rsid w:val="00276AFE"/>
    <w:rsid w:val="0027771C"/>
    <w:rsid w:val="002826E2"/>
    <w:rsid w:val="00285A92"/>
    <w:rsid w:val="00293094"/>
    <w:rsid w:val="00294A0A"/>
    <w:rsid w:val="002A187D"/>
    <w:rsid w:val="002A2185"/>
    <w:rsid w:val="002A3E5A"/>
    <w:rsid w:val="002A694F"/>
    <w:rsid w:val="002B22B0"/>
    <w:rsid w:val="002B2BFD"/>
    <w:rsid w:val="002B48A0"/>
    <w:rsid w:val="002B4C39"/>
    <w:rsid w:val="002B7FED"/>
    <w:rsid w:val="002C1667"/>
    <w:rsid w:val="002C56E2"/>
    <w:rsid w:val="002C6303"/>
    <w:rsid w:val="002E1E18"/>
    <w:rsid w:val="002E6D0B"/>
    <w:rsid w:val="002F443B"/>
    <w:rsid w:val="0030130B"/>
    <w:rsid w:val="00301603"/>
    <w:rsid w:val="00304247"/>
    <w:rsid w:val="0030466F"/>
    <w:rsid w:val="003058A7"/>
    <w:rsid w:val="003059E6"/>
    <w:rsid w:val="0030765C"/>
    <w:rsid w:val="00307B19"/>
    <w:rsid w:val="00311791"/>
    <w:rsid w:val="00315CB9"/>
    <w:rsid w:val="003167F6"/>
    <w:rsid w:val="003177FB"/>
    <w:rsid w:val="00321F34"/>
    <w:rsid w:val="00322596"/>
    <w:rsid w:val="003336D5"/>
    <w:rsid w:val="0033421A"/>
    <w:rsid w:val="00334ED4"/>
    <w:rsid w:val="00340FC7"/>
    <w:rsid w:val="00351E79"/>
    <w:rsid w:val="00351F2F"/>
    <w:rsid w:val="00353712"/>
    <w:rsid w:val="00355AB9"/>
    <w:rsid w:val="003562F1"/>
    <w:rsid w:val="003571E5"/>
    <w:rsid w:val="00365091"/>
    <w:rsid w:val="003667F2"/>
    <w:rsid w:val="00371B1B"/>
    <w:rsid w:val="003757D9"/>
    <w:rsid w:val="00375FE8"/>
    <w:rsid w:val="00386BE2"/>
    <w:rsid w:val="00392F98"/>
    <w:rsid w:val="00393138"/>
    <w:rsid w:val="00394841"/>
    <w:rsid w:val="003A0641"/>
    <w:rsid w:val="003B31C9"/>
    <w:rsid w:val="003B5FB1"/>
    <w:rsid w:val="003C43F5"/>
    <w:rsid w:val="003C65C5"/>
    <w:rsid w:val="003C7B17"/>
    <w:rsid w:val="003D1A8E"/>
    <w:rsid w:val="003D7424"/>
    <w:rsid w:val="003F25EB"/>
    <w:rsid w:val="003F368F"/>
    <w:rsid w:val="00402373"/>
    <w:rsid w:val="0040567D"/>
    <w:rsid w:val="00405A32"/>
    <w:rsid w:val="00407679"/>
    <w:rsid w:val="00410C61"/>
    <w:rsid w:val="004145DD"/>
    <w:rsid w:val="0041644D"/>
    <w:rsid w:val="00425761"/>
    <w:rsid w:val="00427708"/>
    <w:rsid w:val="00431FBB"/>
    <w:rsid w:val="00433157"/>
    <w:rsid w:val="0043332E"/>
    <w:rsid w:val="00433E1F"/>
    <w:rsid w:val="00434F83"/>
    <w:rsid w:val="00450C4D"/>
    <w:rsid w:val="0045446E"/>
    <w:rsid w:val="00460FDB"/>
    <w:rsid w:val="00465902"/>
    <w:rsid w:val="0047099C"/>
    <w:rsid w:val="00474E88"/>
    <w:rsid w:val="00477377"/>
    <w:rsid w:val="00482756"/>
    <w:rsid w:val="004842A4"/>
    <w:rsid w:val="00484746"/>
    <w:rsid w:val="00490579"/>
    <w:rsid w:val="00490B47"/>
    <w:rsid w:val="00497760"/>
    <w:rsid w:val="00497D57"/>
    <w:rsid w:val="004A0CC0"/>
    <w:rsid w:val="004A5F28"/>
    <w:rsid w:val="004A7D87"/>
    <w:rsid w:val="004B060F"/>
    <w:rsid w:val="004B2912"/>
    <w:rsid w:val="004B2BF1"/>
    <w:rsid w:val="004B66A5"/>
    <w:rsid w:val="004B6CD4"/>
    <w:rsid w:val="004B7D0D"/>
    <w:rsid w:val="004C11B8"/>
    <w:rsid w:val="004C1BF0"/>
    <w:rsid w:val="004C2A6D"/>
    <w:rsid w:val="004C42EA"/>
    <w:rsid w:val="004D25E4"/>
    <w:rsid w:val="004D739B"/>
    <w:rsid w:val="004D7E3C"/>
    <w:rsid w:val="004E0867"/>
    <w:rsid w:val="004E0FF0"/>
    <w:rsid w:val="004E1558"/>
    <w:rsid w:val="004E5BDE"/>
    <w:rsid w:val="004E6237"/>
    <w:rsid w:val="004F258B"/>
    <w:rsid w:val="004F3620"/>
    <w:rsid w:val="004F7256"/>
    <w:rsid w:val="00506B29"/>
    <w:rsid w:val="005118BA"/>
    <w:rsid w:val="00511C25"/>
    <w:rsid w:val="005138A0"/>
    <w:rsid w:val="00515F7F"/>
    <w:rsid w:val="0051721D"/>
    <w:rsid w:val="00530F8D"/>
    <w:rsid w:val="00533E7C"/>
    <w:rsid w:val="00535F0D"/>
    <w:rsid w:val="00536370"/>
    <w:rsid w:val="00536A6B"/>
    <w:rsid w:val="005419D0"/>
    <w:rsid w:val="00553F03"/>
    <w:rsid w:val="00556640"/>
    <w:rsid w:val="005570AA"/>
    <w:rsid w:val="00563D5A"/>
    <w:rsid w:val="0056444B"/>
    <w:rsid w:val="005666B3"/>
    <w:rsid w:val="00567FBE"/>
    <w:rsid w:val="00571C1A"/>
    <w:rsid w:val="00574486"/>
    <w:rsid w:val="00577BD3"/>
    <w:rsid w:val="00582E9C"/>
    <w:rsid w:val="005909D1"/>
    <w:rsid w:val="00591AE2"/>
    <w:rsid w:val="00594F80"/>
    <w:rsid w:val="00595EE3"/>
    <w:rsid w:val="00597E90"/>
    <w:rsid w:val="005A08CE"/>
    <w:rsid w:val="005A2DF4"/>
    <w:rsid w:val="005B0767"/>
    <w:rsid w:val="005B0900"/>
    <w:rsid w:val="005B1BDD"/>
    <w:rsid w:val="005B1E11"/>
    <w:rsid w:val="005B2E6F"/>
    <w:rsid w:val="005B4C9D"/>
    <w:rsid w:val="005C2FBD"/>
    <w:rsid w:val="005C614C"/>
    <w:rsid w:val="005C7F67"/>
    <w:rsid w:val="005D4F18"/>
    <w:rsid w:val="005E23F2"/>
    <w:rsid w:val="005E334B"/>
    <w:rsid w:val="005E752B"/>
    <w:rsid w:val="005E756C"/>
    <w:rsid w:val="005F24A4"/>
    <w:rsid w:val="005F5691"/>
    <w:rsid w:val="00600D8C"/>
    <w:rsid w:val="00602CF4"/>
    <w:rsid w:val="006079A7"/>
    <w:rsid w:val="00612403"/>
    <w:rsid w:val="006176AA"/>
    <w:rsid w:val="00645859"/>
    <w:rsid w:val="006514CA"/>
    <w:rsid w:val="00654509"/>
    <w:rsid w:val="00654DC2"/>
    <w:rsid w:val="006606D7"/>
    <w:rsid w:val="00660953"/>
    <w:rsid w:val="006656C8"/>
    <w:rsid w:val="00665D17"/>
    <w:rsid w:val="006677AE"/>
    <w:rsid w:val="006826B7"/>
    <w:rsid w:val="0068715A"/>
    <w:rsid w:val="00690784"/>
    <w:rsid w:val="006944EC"/>
    <w:rsid w:val="006948C7"/>
    <w:rsid w:val="006A0FDB"/>
    <w:rsid w:val="006A3671"/>
    <w:rsid w:val="006A3F29"/>
    <w:rsid w:val="006B5EB0"/>
    <w:rsid w:val="006C19E6"/>
    <w:rsid w:val="006C57F9"/>
    <w:rsid w:val="006D2777"/>
    <w:rsid w:val="006D3D1E"/>
    <w:rsid w:val="006E42DD"/>
    <w:rsid w:val="006F5C43"/>
    <w:rsid w:val="00702565"/>
    <w:rsid w:val="007059F4"/>
    <w:rsid w:val="00705D60"/>
    <w:rsid w:val="007100FF"/>
    <w:rsid w:val="00717446"/>
    <w:rsid w:val="00722E3A"/>
    <w:rsid w:val="007323B2"/>
    <w:rsid w:val="00733F11"/>
    <w:rsid w:val="00736EAB"/>
    <w:rsid w:val="00741CD7"/>
    <w:rsid w:val="00747764"/>
    <w:rsid w:val="00754577"/>
    <w:rsid w:val="007547F7"/>
    <w:rsid w:val="0076173E"/>
    <w:rsid w:val="0076587D"/>
    <w:rsid w:val="00770C6E"/>
    <w:rsid w:val="00771916"/>
    <w:rsid w:val="007726AF"/>
    <w:rsid w:val="00772C61"/>
    <w:rsid w:val="00774510"/>
    <w:rsid w:val="00781591"/>
    <w:rsid w:val="007844D1"/>
    <w:rsid w:val="00792B96"/>
    <w:rsid w:val="007A4440"/>
    <w:rsid w:val="007A4C71"/>
    <w:rsid w:val="007A6882"/>
    <w:rsid w:val="007B50BC"/>
    <w:rsid w:val="007B7814"/>
    <w:rsid w:val="007C020D"/>
    <w:rsid w:val="007C3D37"/>
    <w:rsid w:val="007D0ED9"/>
    <w:rsid w:val="007D6FDF"/>
    <w:rsid w:val="007E1434"/>
    <w:rsid w:val="007E269F"/>
    <w:rsid w:val="007E4700"/>
    <w:rsid w:val="007E4746"/>
    <w:rsid w:val="007E5309"/>
    <w:rsid w:val="007F0E3A"/>
    <w:rsid w:val="007F7658"/>
    <w:rsid w:val="007F7E9C"/>
    <w:rsid w:val="008023DC"/>
    <w:rsid w:val="0080422B"/>
    <w:rsid w:val="0080602C"/>
    <w:rsid w:val="00810928"/>
    <w:rsid w:val="008126AC"/>
    <w:rsid w:val="008131D9"/>
    <w:rsid w:val="0081492D"/>
    <w:rsid w:val="008208A7"/>
    <w:rsid w:val="00820C60"/>
    <w:rsid w:val="00824CCA"/>
    <w:rsid w:val="008251BF"/>
    <w:rsid w:val="008263AB"/>
    <w:rsid w:val="0082739F"/>
    <w:rsid w:val="00827840"/>
    <w:rsid w:val="008335F4"/>
    <w:rsid w:val="00837C6D"/>
    <w:rsid w:val="00842952"/>
    <w:rsid w:val="00842BD6"/>
    <w:rsid w:val="0084307A"/>
    <w:rsid w:val="008434E4"/>
    <w:rsid w:val="00843BC9"/>
    <w:rsid w:val="0084474B"/>
    <w:rsid w:val="00847A9A"/>
    <w:rsid w:val="00855ABC"/>
    <w:rsid w:val="00856FAC"/>
    <w:rsid w:val="00870BAB"/>
    <w:rsid w:val="00872B4C"/>
    <w:rsid w:val="00875333"/>
    <w:rsid w:val="00876E04"/>
    <w:rsid w:val="008803DE"/>
    <w:rsid w:val="00880C2C"/>
    <w:rsid w:val="008858A8"/>
    <w:rsid w:val="008862EB"/>
    <w:rsid w:val="008951A2"/>
    <w:rsid w:val="00895882"/>
    <w:rsid w:val="008A19C7"/>
    <w:rsid w:val="008B08F6"/>
    <w:rsid w:val="008B093C"/>
    <w:rsid w:val="008B1F6D"/>
    <w:rsid w:val="008B2778"/>
    <w:rsid w:val="008B2B1E"/>
    <w:rsid w:val="008B6AC3"/>
    <w:rsid w:val="008B77D9"/>
    <w:rsid w:val="008B7F3B"/>
    <w:rsid w:val="008C1D76"/>
    <w:rsid w:val="008C1F1D"/>
    <w:rsid w:val="008C36BE"/>
    <w:rsid w:val="008C435F"/>
    <w:rsid w:val="008C5B62"/>
    <w:rsid w:val="008C6304"/>
    <w:rsid w:val="008D2337"/>
    <w:rsid w:val="008D2917"/>
    <w:rsid w:val="008D3658"/>
    <w:rsid w:val="008D3F7A"/>
    <w:rsid w:val="008D6CA2"/>
    <w:rsid w:val="008D6CE2"/>
    <w:rsid w:val="008F3265"/>
    <w:rsid w:val="008F44AF"/>
    <w:rsid w:val="00900687"/>
    <w:rsid w:val="00900AC8"/>
    <w:rsid w:val="00901022"/>
    <w:rsid w:val="00903CB3"/>
    <w:rsid w:val="0090531B"/>
    <w:rsid w:val="00905F29"/>
    <w:rsid w:val="00906C65"/>
    <w:rsid w:val="00910079"/>
    <w:rsid w:val="0091064A"/>
    <w:rsid w:val="009134A8"/>
    <w:rsid w:val="009135A7"/>
    <w:rsid w:val="00915A41"/>
    <w:rsid w:val="00916B47"/>
    <w:rsid w:val="0091763B"/>
    <w:rsid w:val="00921B83"/>
    <w:rsid w:val="0092251F"/>
    <w:rsid w:val="009361D4"/>
    <w:rsid w:val="00940373"/>
    <w:rsid w:val="0094128A"/>
    <w:rsid w:val="009414EC"/>
    <w:rsid w:val="009426D0"/>
    <w:rsid w:val="00951A52"/>
    <w:rsid w:val="00954235"/>
    <w:rsid w:val="00954F19"/>
    <w:rsid w:val="0095732B"/>
    <w:rsid w:val="00964546"/>
    <w:rsid w:val="00965A4B"/>
    <w:rsid w:val="00972556"/>
    <w:rsid w:val="0097538C"/>
    <w:rsid w:val="00976564"/>
    <w:rsid w:val="00983A00"/>
    <w:rsid w:val="00986AC9"/>
    <w:rsid w:val="00992B80"/>
    <w:rsid w:val="009937B9"/>
    <w:rsid w:val="009A0B67"/>
    <w:rsid w:val="009A13D9"/>
    <w:rsid w:val="009A14AD"/>
    <w:rsid w:val="009A25E6"/>
    <w:rsid w:val="009B019B"/>
    <w:rsid w:val="009B04CA"/>
    <w:rsid w:val="009B2440"/>
    <w:rsid w:val="009B4E34"/>
    <w:rsid w:val="009B4F40"/>
    <w:rsid w:val="009B5394"/>
    <w:rsid w:val="009B7DD7"/>
    <w:rsid w:val="009B7EAB"/>
    <w:rsid w:val="009C3C06"/>
    <w:rsid w:val="009C3F8E"/>
    <w:rsid w:val="009C5596"/>
    <w:rsid w:val="009C7319"/>
    <w:rsid w:val="009D0E92"/>
    <w:rsid w:val="009D1BE0"/>
    <w:rsid w:val="009D53A7"/>
    <w:rsid w:val="009D698B"/>
    <w:rsid w:val="009E0276"/>
    <w:rsid w:val="009E0D3A"/>
    <w:rsid w:val="009E7089"/>
    <w:rsid w:val="009F243E"/>
    <w:rsid w:val="009F2785"/>
    <w:rsid w:val="00A02D99"/>
    <w:rsid w:val="00A05734"/>
    <w:rsid w:val="00A05CCE"/>
    <w:rsid w:val="00A073AB"/>
    <w:rsid w:val="00A100A8"/>
    <w:rsid w:val="00A1282E"/>
    <w:rsid w:val="00A145E7"/>
    <w:rsid w:val="00A1582E"/>
    <w:rsid w:val="00A15E6E"/>
    <w:rsid w:val="00A17521"/>
    <w:rsid w:val="00A218BC"/>
    <w:rsid w:val="00A21F90"/>
    <w:rsid w:val="00A230E4"/>
    <w:rsid w:val="00A36D03"/>
    <w:rsid w:val="00A43028"/>
    <w:rsid w:val="00A44693"/>
    <w:rsid w:val="00A44B11"/>
    <w:rsid w:val="00A552F9"/>
    <w:rsid w:val="00A60BC6"/>
    <w:rsid w:val="00A6210D"/>
    <w:rsid w:val="00A64CCB"/>
    <w:rsid w:val="00A7033A"/>
    <w:rsid w:val="00A7288A"/>
    <w:rsid w:val="00A821EA"/>
    <w:rsid w:val="00A8276C"/>
    <w:rsid w:val="00A84376"/>
    <w:rsid w:val="00A8497A"/>
    <w:rsid w:val="00A84980"/>
    <w:rsid w:val="00A87911"/>
    <w:rsid w:val="00A91D43"/>
    <w:rsid w:val="00AC1ED7"/>
    <w:rsid w:val="00AC3498"/>
    <w:rsid w:val="00AC3820"/>
    <w:rsid w:val="00AC5370"/>
    <w:rsid w:val="00AD340B"/>
    <w:rsid w:val="00AD43A9"/>
    <w:rsid w:val="00AD440B"/>
    <w:rsid w:val="00AE10D1"/>
    <w:rsid w:val="00AE1EDF"/>
    <w:rsid w:val="00AE2AB9"/>
    <w:rsid w:val="00AE45DA"/>
    <w:rsid w:val="00AF2C46"/>
    <w:rsid w:val="00AF446A"/>
    <w:rsid w:val="00AF64F7"/>
    <w:rsid w:val="00AF6DE7"/>
    <w:rsid w:val="00AF7B0E"/>
    <w:rsid w:val="00B01441"/>
    <w:rsid w:val="00B029BA"/>
    <w:rsid w:val="00B039D1"/>
    <w:rsid w:val="00B03B82"/>
    <w:rsid w:val="00B03D9A"/>
    <w:rsid w:val="00B15B9D"/>
    <w:rsid w:val="00B23CFD"/>
    <w:rsid w:val="00B25DE8"/>
    <w:rsid w:val="00B3004E"/>
    <w:rsid w:val="00B30247"/>
    <w:rsid w:val="00B303B2"/>
    <w:rsid w:val="00B309A4"/>
    <w:rsid w:val="00B339C2"/>
    <w:rsid w:val="00B40AD1"/>
    <w:rsid w:val="00B46E58"/>
    <w:rsid w:val="00B4752D"/>
    <w:rsid w:val="00B5175C"/>
    <w:rsid w:val="00B523B4"/>
    <w:rsid w:val="00B540FB"/>
    <w:rsid w:val="00B61878"/>
    <w:rsid w:val="00B67755"/>
    <w:rsid w:val="00B76DCB"/>
    <w:rsid w:val="00B82962"/>
    <w:rsid w:val="00B82F3D"/>
    <w:rsid w:val="00B92768"/>
    <w:rsid w:val="00B9340F"/>
    <w:rsid w:val="00B972DF"/>
    <w:rsid w:val="00BA07F3"/>
    <w:rsid w:val="00BB0702"/>
    <w:rsid w:val="00BB0F7C"/>
    <w:rsid w:val="00BB1F47"/>
    <w:rsid w:val="00BB44C6"/>
    <w:rsid w:val="00BB75E4"/>
    <w:rsid w:val="00BC0E4F"/>
    <w:rsid w:val="00BD204B"/>
    <w:rsid w:val="00BD3B01"/>
    <w:rsid w:val="00BD4F72"/>
    <w:rsid w:val="00BD653B"/>
    <w:rsid w:val="00BD671C"/>
    <w:rsid w:val="00BD7E23"/>
    <w:rsid w:val="00BE2303"/>
    <w:rsid w:val="00BE2AA4"/>
    <w:rsid w:val="00BE5792"/>
    <w:rsid w:val="00BE6B1D"/>
    <w:rsid w:val="00BF1013"/>
    <w:rsid w:val="00BF3B78"/>
    <w:rsid w:val="00C063C0"/>
    <w:rsid w:val="00C24AED"/>
    <w:rsid w:val="00C36DBB"/>
    <w:rsid w:val="00C459B4"/>
    <w:rsid w:val="00C53F7A"/>
    <w:rsid w:val="00C65A4D"/>
    <w:rsid w:val="00C70037"/>
    <w:rsid w:val="00C765CA"/>
    <w:rsid w:val="00C77506"/>
    <w:rsid w:val="00C82DCD"/>
    <w:rsid w:val="00C9720E"/>
    <w:rsid w:val="00CA0D24"/>
    <w:rsid w:val="00CA5950"/>
    <w:rsid w:val="00CA6FD4"/>
    <w:rsid w:val="00CB1392"/>
    <w:rsid w:val="00CC4686"/>
    <w:rsid w:val="00CD06B3"/>
    <w:rsid w:val="00CD6CF7"/>
    <w:rsid w:val="00CE1124"/>
    <w:rsid w:val="00CE155A"/>
    <w:rsid w:val="00CE645D"/>
    <w:rsid w:val="00CE651F"/>
    <w:rsid w:val="00CE6A25"/>
    <w:rsid w:val="00CF1D4C"/>
    <w:rsid w:val="00CF362E"/>
    <w:rsid w:val="00CF4E60"/>
    <w:rsid w:val="00CF76D6"/>
    <w:rsid w:val="00D00197"/>
    <w:rsid w:val="00D00384"/>
    <w:rsid w:val="00D0147F"/>
    <w:rsid w:val="00D067C9"/>
    <w:rsid w:val="00D10475"/>
    <w:rsid w:val="00D12EA2"/>
    <w:rsid w:val="00D15DB9"/>
    <w:rsid w:val="00D15F2C"/>
    <w:rsid w:val="00D2102A"/>
    <w:rsid w:val="00D36649"/>
    <w:rsid w:val="00D41DF2"/>
    <w:rsid w:val="00D42CDA"/>
    <w:rsid w:val="00D43372"/>
    <w:rsid w:val="00D44263"/>
    <w:rsid w:val="00D466A9"/>
    <w:rsid w:val="00D51049"/>
    <w:rsid w:val="00D632D0"/>
    <w:rsid w:val="00D6561B"/>
    <w:rsid w:val="00D662FD"/>
    <w:rsid w:val="00D66DC3"/>
    <w:rsid w:val="00D72353"/>
    <w:rsid w:val="00D726BC"/>
    <w:rsid w:val="00D83EB6"/>
    <w:rsid w:val="00D85E67"/>
    <w:rsid w:val="00D867B3"/>
    <w:rsid w:val="00D92EDF"/>
    <w:rsid w:val="00D9484A"/>
    <w:rsid w:val="00DA0CC7"/>
    <w:rsid w:val="00DA37AA"/>
    <w:rsid w:val="00DA7E4F"/>
    <w:rsid w:val="00DB4406"/>
    <w:rsid w:val="00DC0545"/>
    <w:rsid w:val="00DC17FA"/>
    <w:rsid w:val="00DC4A9F"/>
    <w:rsid w:val="00DC6101"/>
    <w:rsid w:val="00DC6677"/>
    <w:rsid w:val="00DD2C19"/>
    <w:rsid w:val="00DE48B8"/>
    <w:rsid w:val="00DE757A"/>
    <w:rsid w:val="00DF1D2D"/>
    <w:rsid w:val="00DF4239"/>
    <w:rsid w:val="00DF4CEC"/>
    <w:rsid w:val="00DF4ED3"/>
    <w:rsid w:val="00DF72E5"/>
    <w:rsid w:val="00E121FC"/>
    <w:rsid w:val="00E20EBF"/>
    <w:rsid w:val="00E23810"/>
    <w:rsid w:val="00E25F84"/>
    <w:rsid w:val="00E30D77"/>
    <w:rsid w:val="00E3310C"/>
    <w:rsid w:val="00E333D5"/>
    <w:rsid w:val="00E34712"/>
    <w:rsid w:val="00E44807"/>
    <w:rsid w:val="00E52CCA"/>
    <w:rsid w:val="00E63142"/>
    <w:rsid w:val="00E64B69"/>
    <w:rsid w:val="00E66372"/>
    <w:rsid w:val="00E71229"/>
    <w:rsid w:val="00E71510"/>
    <w:rsid w:val="00E73F97"/>
    <w:rsid w:val="00E8017C"/>
    <w:rsid w:val="00E81C74"/>
    <w:rsid w:val="00E827B4"/>
    <w:rsid w:val="00E869A8"/>
    <w:rsid w:val="00E92B11"/>
    <w:rsid w:val="00E932F8"/>
    <w:rsid w:val="00EA5F7E"/>
    <w:rsid w:val="00EA6B99"/>
    <w:rsid w:val="00EB3AD8"/>
    <w:rsid w:val="00EB5DCF"/>
    <w:rsid w:val="00EC7A1B"/>
    <w:rsid w:val="00ED1DF6"/>
    <w:rsid w:val="00ED1EE3"/>
    <w:rsid w:val="00ED6C32"/>
    <w:rsid w:val="00EE04C9"/>
    <w:rsid w:val="00EE2D0E"/>
    <w:rsid w:val="00EE49C2"/>
    <w:rsid w:val="00EE74EC"/>
    <w:rsid w:val="00EF1C88"/>
    <w:rsid w:val="00EF4501"/>
    <w:rsid w:val="00EF6EC3"/>
    <w:rsid w:val="00EF72FE"/>
    <w:rsid w:val="00F076EB"/>
    <w:rsid w:val="00F13718"/>
    <w:rsid w:val="00F15033"/>
    <w:rsid w:val="00F15F46"/>
    <w:rsid w:val="00F1630B"/>
    <w:rsid w:val="00F1768A"/>
    <w:rsid w:val="00F20A43"/>
    <w:rsid w:val="00F2148B"/>
    <w:rsid w:val="00F23E83"/>
    <w:rsid w:val="00F34CAE"/>
    <w:rsid w:val="00F4697B"/>
    <w:rsid w:val="00F52E7C"/>
    <w:rsid w:val="00F56DB9"/>
    <w:rsid w:val="00F6214B"/>
    <w:rsid w:val="00F67D57"/>
    <w:rsid w:val="00F71F01"/>
    <w:rsid w:val="00F7634C"/>
    <w:rsid w:val="00F764E0"/>
    <w:rsid w:val="00F80FE3"/>
    <w:rsid w:val="00F826CA"/>
    <w:rsid w:val="00F8593E"/>
    <w:rsid w:val="00F8606E"/>
    <w:rsid w:val="00F90D56"/>
    <w:rsid w:val="00F960BD"/>
    <w:rsid w:val="00F97DAF"/>
    <w:rsid w:val="00FA05B2"/>
    <w:rsid w:val="00FA259E"/>
    <w:rsid w:val="00FA7639"/>
    <w:rsid w:val="00FA7AD9"/>
    <w:rsid w:val="00FB3823"/>
    <w:rsid w:val="00FB40D2"/>
    <w:rsid w:val="00FB51D0"/>
    <w:rsid w:val="00FC087A"/>
    <w:rsid w:val="00FC2B88"/>
    <w:rsid w:val="00FC376A"/>
    <w:rsid w:val="00FC4FFD"/>
    <w:rsid w:val="00FC6AA4"/>
    <w:rsid w:val="00FD6E62"/>
    <w:rsid w:val="00FE0DC1"/>
    <w:rsid w:val="00FE4D2F"/>
    <w:rsid w:val="00FE62E3"/>
    <w:rsid w:val="00FE6B13"/>
    <w:rsid w:val="00FE6ECD"/>
    <w:rsid w:val="00FE70FE"/>
    <w:rsid w:val="00FF01CD"/>
    <w:rsid w:val="00FF029C"/>
    <w:rsid w:val="00FF09CE"/>
    <w:rsid w:val="00FF452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EB21"/>
  <w15:docId w15:val="{FB3ABDA2-03D9-4951-9F09-B0D350D3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F4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4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E10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0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4E6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abstractlabel">
    <w:name w:val="abstract_label"/>
    <w:basedOn w:val="Standardskriftforavsnitt"/>
    <w:rsid w:val="00CF4E60"/>
    <w:rPr>
      <w:b/>
      <w:bCs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4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10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3667F2"/>
    <w:rPr>
      <w:color w:val="808080"/>
    </w:rPr>
  </w:style>
  <w:style w:type="paragraph" w:styleId="Bildetekst">
    <w:name w:val="caption"/>
    <w:basedOn w:val="Normal"/>
    <w:next w:val="Normal"/>
    <w:uiPriority w:val="35"/>
    <w:unhideWhenUsed/>
    <w:qFormat/>
    <w:rsid w:val="009135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4C11B8"/>
    <w:pPr>
      <w:ind w:left="720"/>
      <w:contextualSpacing/>
    </w:pPr>
  </w:style>
  <w:style w:type="table" w:styleId="Tabellrutenett">
    <w:name w:val="Table Grid"/>
    <w:basedOn w:val="Vanligtabell"/>
    <w:uiPriority w:val="39"/>
    <w:rsid w:val="006D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9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2B80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879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87911"/>
    <w:pPr>
      <w:spacing w:line="240" w:lineRule="auto"/>
    </w:pPr>
    <w:rPr>
      <w:sz w:val="20"/>
      <w:szCs w:val="20"/>
      <w:lang w:val="ca-E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87911"/>
    <w:rPr>
      <w:sz w:val="20"/>
      <w:szCs w:val="20"/>
      <w:lang w:val="ca-ES"/>
    </w:rPr>
  </w:style>
  <w:style w:type="character" w:customStyle="1" w:styleId="MathematicaFormatInputForm">
    <w:name w:val="MathematicaFormatInputForm"/>
    <w:uiPriority w:val="99"/>
    <w:rsid w:val="00B61878"/>
    <w:rPr>
      <w:rFonts w:ascii="Courier" w:hAnsi="Courier" w:cs="Courier"/>
    </w:rPr>
  </w:style>
  <w:style w:type="paragraph" w:styleId="Topptekst">
    <w:name w:val="header"/>
    <w:basedOn w:val="Normal"/>
    <w:link w:val="TopptekstTegn"/>
    <w:uiPriority w:val="99"/>
    <w:unhideWhenUsed/>
    <w:rsid w:val="00C4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59B4"/>
  </w:style>
  <w:style w:type="paragraph" w:styleId="Bunntekst">
    <w:name w:val="footer"/>
    <w:basedOn w:val="Normal"/>
    <w:link w:val="BunntekstTegn"/>
    <w:uiPriority w:val="99"/>
    <w:unhideWhenUsed/>
    <w:rsid w:val="00C4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59B4"/>
  </w:style>
  <w:style w:type="paragraph" w:styleId="Fotnotetekst">
    <w:name w:val="footnote text"/>
    <w:basedOn w:val="Normal"/>
    <w:link w:val="FotnotetekstTegn"/>
    <w:uiPriority w:val="99"/>
    <w:unhideWhenUsed/>
    <w:rsid w:val="00C459B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459B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459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MathematicaFormatStandardForm">
    <w:name w:val="MathematicaFormatStandardForm"/>
    <w:uiPriority w:val="99"/>
    <w:rsid w:val="001C685E"/>
    <w:rPr>
      <w:rFonts w:ascii="Courier" w:hAnsi="Courier" w:cs="Courier"/>
    </w:rPr>
  </w:style>
  <w:style w:type="character" w:styleId="Hyperkobling">
    <w:name w:val="Hyperlink"/>
    <w:basedOn w:val="Standardskriftforavsnitt"/>
    <w:uiPriority w:val="99"/>
    <w:unhideWhenUsed/>
    <w:rsid w:val="0046590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65902"/>
    <w:rPr>
      <w:color w:val="605E5C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0291"/>
    <w:rPr>
      <w:b/>
      <w:bCs/>
      <w:lang w:val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0291"/>
    <w:rPr>
      <w:b/>
      <w:bCs/>
      <w:sz w:val="20"/>
      <w:szCs w:val="20"/>
      <w:lang w:val="ca-ES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B2BF1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B2BF1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4B2BF1"/>
    <w:rPr>
      <w:vertAlign w:val="superscript"/>
    </w:rPr>
  </w:style>
  <w:style w:type="paragraph" w:styleId="Revisjon">
    <w:name w:val="Revision"/>
    <w:hidden/>
    <w:uiPriority w:val="99"/>
    <w:semiHidden/>
    <w:rsid w:val="009B4E34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1D00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1D00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kst">
    <w:name w:val="Body Text"/>
    <w:basedOn w:val="Normal"/>
    <w:link w:val="BrdtekstTegn"/>
    <w:uiPriority w:val="99"/>
    <w:unhideWhenUsed/>
    <w:rsid w:val="001D002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D0023"/>
  </w:style>
  <w:style w:type="paragraph" w:styleId="Brdtekstinnrykk">
    <w:name w:val="Body Text Indent"/>
    <w:basedOn w:val="Normal"/>
    <w:link w:val="BrdtekstinnrykkTegn"/>
    <w:uiPriority w:val="99"/>
    <w:unhideWhenUsed/>
    <w:rsid w:val="001D002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1D0023"/>
  </w:style>
  <w:style w:type="paragraph" w:styleId="Undertittel">
    <w:name w:val="Subtitle"/>
    <w:basedOn w:val="Normal"/>
    <w:next w:val="Normal"/>
    <w:link w:val="UndertittelTegn"/>
    <w:uiPriority w:val="11"/>
    <w:qFormat/>
    <w:rsid w:val="001D00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0023"/>
    <w:rPr>
      <w:rFonts w:eastAsiaTheme="minorEastAsia"/>
      <w:color w:val="5A5A5A" w:themeColor="text1" w:themeTint="A5"/>
      <w:spacing w:val="1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1D0023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1D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057">
          <w:marLeft w:val="0"/>
          <w:marRight w:val="0"/>
          <w:marTop w:val="156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491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8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o.org/gfcm/data/maps/gsas/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isplay_x0020_tag xmlns="edcfda57-cc10-47bb-9b1a-1da3c249b636">management</Display_x0020_tag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C7F05D0B9CA4F86D0A2279F5CE6A9" ma:contentTypeVersion="5" ma:contentTypeDescription="Create a new document." ma:contentTypeScope="" ma:versionID="d0a4ea9029c9d79e01265826456f2745">
  <xsd:schema xmlns:xsd="http://www.w3.org/2001/XMLSchema" xmlns:xs="http://www.w3.org/2001/XMLSchema" xmlns:p="http://schemas.microsoft.com/office/2006/metadata/properties" xmlns:ns1="http://schemas.microsoft.com/sharepoint/v3" xmlns:ns2="60432312-c29a-4e29-83e1-117ff1016570" xmlns:ns3="edcfda57-cc10-47bb-9b1a-1da3c249b636" targetNamespace="http://schemas.microsoft.com/office/2006/metadata/properties" ma:root="true" ma:fieldsID="0b11db122d269e3b3246d45f8893ce0f" ns1:_="" ns2:_="" ns3:_="">
    <xsd:import namespace="http://schemas.microsoft.com/sharepoint/v3"/>
    <xsd:import namespace="60432312-c29a-4e29-83e1-117ff1016570"/>
    <xsd:import namespace="edcfda57-cc10-47bb-9b1a-1da3c249b6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isplay_x0020_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2312-c29a-4e29-83e1-117ff1016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da57-cc10-47bb-9b1a-1da3c249b636" elementFormDefault="qualified">
    <xsd:import namespace="http://schemas.microsoft.com/office/2006/documentManagement/types"/>
    <xsd:import namespace="http://schemas.microsoft.com/office/infopath/2007/PartnerControls"/>
    <xsd:element name="Display_x0020_tag" ma:index="11" nillable="true" ma:displayName="Display tag" ma:internalName="Display_x0020_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8B19A-8648-4D04-93B9-170788A21105}"/>
</file>

<file path=customXml/itemProps2.xml><?xml version="1.0" encoding="utf-8"?>
<ds:datastoreItem xmlns:ds="http://schemas.openxmlformats.org/officeDocument/2006/customXml" ds:itemID="{FE00E98D-A891-458E-B5AD-01703E58E341}"/>
</file>

<file path=customXml/itemProps3.xml><?xml version="1.0" encoding="utf-8"?>
<ds:datastoreItem xmlns:ds="http://schemas.openxmlformats.org/officeDocument/2006/customXml" ds:itemID="{88FB0660-21E8-43F4-AD96-AC68B8FBABBE}"/>
</file>

<file path=customXml/itemProps4.xml><?xml version="1.0" encoding="utf-8"?>
<ds:datastoreItem xmlns:ds="http://schemas.openxmlformats.org/officeDocument/2006/customXml" ds:itemID="{ED245F42-49C9-477E-91B8-A85CBB20D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4174</Words>
  <Characters>22128</Characters>
  <Application>Microsoft Office Word</Application>
  <DocSecurity>0</DocSecurity>
  <Lines>184</Lines>
  <Paragraphs>52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Berglann</dc:creator>
  <cp:keywords/>
  <dc:description/>
  <cp:lastModifiedBy>Helge Berglann</cp:lastModifiedBy>
  <cp:revision>3</cp:revision>
  <cp:lastPrinted>2021-10-05T07:58:00Z</cp:lastPrinted>
  <dcterms:created xsi:type="dcterms:W3CDTF">2021-12-03T07:55:00Z</dcterms:created>
  <dcterms:modified xsi:type="dcterms:W3CDTF">2021-12-03T08:26:00Z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0x0101009A4C7F05D0B9CA4F86D0A2279F5CE6A9</vt:lpwstr>
  </property>
</Properties>
</file>